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F74CD0">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F74CD0">
              <w:rPr>
                <w:rFonts w:ascii="Arial Narrow" w:hAnsi="Arial Narrow"/>
              </w:rPr>
              <w:t>California</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F74CD0">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F74CD0">
              <w:rPr>
                <w:rFonts w:ascii="Arial Narrow" w:hAnsi="Arial Narrow"/>
              </w:rPr>
              <w:t>Nick Compin Chief, Office of Strategic Development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F74CD0">
            <w:pPr>
              <w:ind w:left="360"/>
              <w:rPr>
                <w:rFonts w:ascii="Arial Narrow" w:hAnsi="Arial Narrow"/>
              </w:rPr>
            </w:pPr>
            <w:r>
              <w:rPr>
                <w:rFonts w:ascii="Arial Narrow" w:hAnsi="Arial Narrow"/>
              </w:rPr>
              <w:t xml:space="preserve">Organization: </w:t>
            </w:r>
            <w:r w:rsidR="00F74CD0">
              <w:rPr>
                <w:rFonts w:ascii="Arial Narrow" w:hAnsi="Arial Narrow"/>
              </w:rPr>
              <w:t>California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F74CD0">
            <w:pPr>
              <w:ind w:left="360"/>
              <w:rPr>
                <w:rFonts w:ascii="Arial Narrow" w:hAnsi="Arial Narrow"/>
              </w:rPr>
            </w:pPr>
            <w:r>
              <w:rPr>
                <w:rFonts w:ascii="Arial Narrow" w:hAnsi="Arial Narrow"/>
              </w:rPr>
              <w:t xml:space="preserve">Street Address: </w:t>
            </w:r>
            <w:r w:rsidR="00F74CD0">
              <w:rPr>
                <w:rFonts w:ascii="Arial Narrow" w:hAnsi="Arial Narrow"/>
              </w:rPr>
              <w:t>1120 N. Street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F74CD0">
            <w:pPr>
              <w:ind w:left="360"/>
              <w:rPr>
                <w:rFonts w:ascii="Arial Narrow" w:hAnsi="Arial Narrow"/>
              </w:rPr>
            </w:pPr>
            <w:r>
              <w:rPr>
                <w:rFonts w:ascii="Arial Narrow" w:hAnsi="Arial Narrow"/>
              </w:rPr>
              <w:t xml:space="preserve">City: </w:t>
            </w:r>
            <w:r w:rsidR="00F74CD0">
              <w:rPr>
                <w:rFonts w:ascii="Arial Narrow" w:hAnsi="Arial Narrow"/>
              </w:rPr>
              <w:t>Sacramento</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F74CD0">
            <w:pPr>
              <w:rPr>
                <w:rFonts w:ascii="Arial Narrow" w:hAnsi="Arial Narrow"/>
              </w:rPr>
            </w:pPr>
            <w:r>
              <w:rPr>
                <w:rFonts w:ascii="Arial Narrow" w:hAnsi="Arial Narrow"/>
              </w:rPr>
              <w:t xml:space="preserve">State: </w:t>
            </w:r>
            <w:r w:rsidR="00F74CD0">
              <w:rPr>
                <w:rFonts w:ascii="Arial Narrow" w:hAnsi="Arial Narrow"/>
              </w:rPr>
              <w:t>CA</w:t>
            </w:r>
          </w:p>
        </w:tc>
        <w:tc>
          <w:tcPr>
            <w:tcW w:w="2160" w:type="dxa"/>
            <w:tcBorders>
              <w:top w:val="single" w:sz="4" w:space="0" w:color="C0C0C0"/>
              <w:left w:val="single" w:sz="4" w:space="0" w:color="C0C0C0"/>
              <w:bottom w:val="single" w:sz="4" w:space="0" w:color="C0C0C0"/>
            </w:tcBorders>
          </w:tcPr>
          <w:p w:rsidR="002A183C" w:rsidRDefault="002A183C" w:rsidP="00F74CD0">
            <w:pPr>
              <w:rPr>
                <w:rFonts w:ascii="Arial Narrow" w:hAnsi="Arial Narrow"/>
              </w:rPr>
            </w:pPr>
            <w:r>
              <w:rPr>
                <w:rFonts w:ascii="Arial Narrow" w:hAnsi="Arial Narrow"/>
              </w:rPr>
              <w:t xml:space="preserve">Zipcode: </w:t>
            </w:r>
            <w:r w:rsidR="00F74CD0">
              <w:rPr>
                <w:rFonts w:ascii="Arial Narrow" w:hAnsi="Arial Narrow"/>
              </w:rPr>
              <w:t>95814</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F74CD0">
            <w:pPr>
              <w:ind w:left="360"/>
              <w:rPr>
                <w:rFonts w:ascii="Arial Narrow" w:hAnsi="Arial Narrow"/>
              </w:rPr>
            </w:pPr>
            <w:r>
              <w:rPr>
                <w:rFonts w:ascii="Arial Narrow" w:hAnsi="Arial Narrow"/>
              </w:rPr>
              <w:t xml:space="preserve">E-mail: </w:t>
            </w:r>
            <w:r w:rsidR="00F74CD0">
              <w:rPr>
                <w:rFonts w:ascii="Arial Narrow" w:hAnsi="Arial Narrow"/>
              </w:rPr>
              <w:t>Nicholas.compin@dot.ca.gov</w:t>
            </w:r>
          </w:p>
        </w:tc>
        <w:tc>
          <w:tcPr>
            <w:tcW w:w="2250" w:type="dxa"/>
            <w:gridSpan w:val="3"/>
            <w:tcBorders>
              <w:top w:val="single" w:sz="4" w:space="0" w:color="C0C0C0"/>
              <w:left w:val="single" w:sz="4" w:space="0" w:color="C0C0C0"/>
              <w:right w:val="single" w:sz="4" w:space="0" w:color="C0C0C0"/>
            </w:tcBorders>
          </w:tcPr>
          <w:p w:rsidR="002A183C" w:rsidRDefault="002A183C" w:rsidP="00F74CD0">
            <w:pPr>
              <w:rPr>
                <w:rFonts w:ascii="Arial Narrow" w:hAnsi="Arial Narrow"/>
              </w:rPr>
            </w:pPr>
            <w:r>
              <w:rPr>
                <w:rFonts w:ascii="Arial Narrow" w:hAnsi="Arial Narrow"/>
              </w:rPr>
              <w:t xml:space="preserve">Phone: </w:t>
            </w:r>
            <w:r w:rsidR="00F74CD0">
              <w:rPr>
                <w:rFonts w:ascii="Arial Narrow" w:hAnsi="Arial Narrow"/>
              </w:rPr>
              <w:t>916 653-4575</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F74CD0">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F74CD0">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Default="00F74CD0" w:rsidP="00F74CD0">
            <w:pPr>
              <w:rPr>
                <w:rFonts w:ascii="Arial Narrow" w:hAnsi="Arial Narrow"/>
              </w:rPr>
            </w:pPr>
            <w:r>
              <w:rPr>
                <w:rFonts w:ascii="Arial Narrow" w:hAnsi="Arial Narrow"/>
              </w:rPr>
              <w:t>Intelligent Transportation Systems System Builder (ITS-SB)</w:t>
            </w:r>
          </w:p>
        </w:tc>
      </w:tr>
      <w:tr w:rsidR="002A183C" w:rsidTr="00237101">
        <w:trPr>
          <w:cantSplit/>
          <w:trHeight w:val="2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Pr="00F74CD0" w:rsidRDefault="002A183C" w:rsidP="002A183C">
            <w:pPr>
              <w:numPr>
                <w:ilvl w:val="0"/>
                <w:numId w:val="5"/>
              </w:numPr>
              <w:rPr>
                <w:rFonts w:ascii="Arial Narrow" w:hAnsi="Arial Narrow"/>
              </w:rPr>
            </w:pPr>
            <w:r w:rsidRPr="00F74CD0">
              <w:rPr>
                <w:rFonts w:ascii="Arial Narrow" w:hAnsi="Arial Narrow"/>
              </w:rPr>
              <w:t>Please describe the technology.</w:t>
            </w:r>
          </w:p>
          <w:p w:rsidR="00F74CD0" w:rsidRPr="00F74CD0" w:rsidRDefault="00F74CD0" w:rsidP="00F74CD0">
            <w:pPr>
              <w:pStyle w:val="ListParagraph"/>
              <w:numPr>
                <w:ilvl w:val="0"/>
                <w:numId w:val="9"/>
              </w:numPr>
              <w:rPr>
                <w:rFonts w:ascii="Arial Narrow" w:hAnsi="Arial Narrow"/>
                <w:sz w:val="20"/>
                <w:szCs w:val="20"/>
              </w:rPr>
            </w:pPr>
            <w:r w:rsidRPr="00F74CD0">
              <w:rPr>
                <w:rFonts w:ascii="Arial Narrow" w:hAnsi="Arial Narrow"/>
                <w:sz w:val="20"/>
                <w:szCs w:val="20"/>
              </w:rPr>
              <w:t xml:space="preserve">The Intelligent Transportation Systems System Builder (ITS-SB) tool is an interactive database that </w:t>
            </w:r>
            <w:r>
              <w:rPr>
                <w:rFonts w:ascii="Arial Narrow" w:hAnsi="Arial Narrow"/>
                <w:sz w:val="20"/>
                <w:szCs w:val="20"/>
              </w:rPr>
              <w:t>contains</w:t>
            </w:r>
            <w:r w:rsidRPr="00F74CD0">
              <w:rPr>
                <w:rFonts w:ascii="Arial Narrow" w:hAnsi="Arial Narrow"/>
                <w:sz w:val="20"/>
                <w:szCs w:val="20"/>
              </w:rPr>
              <w:t xml:space="preserve"> a library of both Caltrans and regional ITS architectures</w:t>
            </w:r>
            <w:r w:rsidR="003362D0">
              <w:rPr>
                <w:rFonts w:ascii="Arial Narrow" w:hAnsi="Arial Narrow"/>
                <w:sz w:val="20"/>
                <w:szCs w:val="20"/>
              </w:rPr>
              <w:t xml:space="preserve"> built using the Federal Highway Administrations’ (FHWA) T</w:t>
            </w:r>
            <w:r w:rsidR="00271DE9">
              <w:rPr>
                <w:rFonts w:ascii="Arial Narrow" w:hAnsi="Arial Narrow"/>
                <w:sz w:val="20"/>
                <w:szCs w:val="20"/>
              </w:rPr>
              <w:t>urbo</w:t>
            </w:r>
            <w:r w:rsidR="003362D0">
              <w:rPr>
                <w:rFonts w:ascii="Arial Narrow" w:hAnsi="Arial Narrow"/>
                <w:sz w:val="20"/>
                <w:szCs w:val="20"/>
              </w:rPr>
              <w:t xml:space="preserve"> Architecture</w:t>
            </w:r>
            <w:r w:rsidRPr="00F74CD0">
              <w:rPr>
                <w:rFonts w:ascii="Arial Narrow" w:hAnsi="Arial Narrow"/>
                <w:sz w:val="20"/>
                <w:szCs w:val="20"/>
              </w:rPr>
              <w:t>, context diagram</w:t>
            </w:r>
            <w:r>
              <w:rPr>
                <w:rFonts w:ascii="Arial Narrow" w:hAnsi="Arial Narrow"/>
                <w:sz w:val="20"/>
                <w:szCs w:val="20"/>
              </w:rPr>
              <w:t>s</w:t>
            </w:r>
            <w:r w:rsidRPr="00F74CD0">
              <w:rPr>
                <w:rFonts w:ascii="Arial Narrow" w:hAnsi="Arial Narrow"/>
                <w:sz w:val="20"/>
                <w:szCs w:val="20"/>
              </w:rPr>
              <w:t xml:space="preserve"> and other helpful related documents.  </w:t>
            </w:r>
          </w:p>
          <w:p w:rsidR="00F74CD0" w:rsidRPr="00F74CD0" w:rsidRDefault="00F74CD0" w:rsidP="00F74CD0">
            <w:pPr>
              <w:pStyle w:val="ListParagraph"/>
              <w:numPr>
                <w:ilvl w:val="0"/>
                <w:numId w:val="9"/>
              </w:numPr>
              <w:rPr>
                <w:rFonts w:ascii="Arial Narrow" w:hAnsi="Arial Narrow"/>
                <w:sz w:val="20"/>
                <w:szCs w:val="20"/>
              </w:rPr>
            </w:pPr>
            <w:r w:rsidRPr="00F74CD0">
              <w:rPr>
                <w:rFonts w:ascii="Arial Narrow" w:hAnsi="Arial Narrow"/>
                <w:sz w:val="20"/>
                <w:szCs w:val="20"/>
              </w:rPr>
              <w:t xml:space="preserve">Stakeholders now have the ability to access the ITS-SB database to upload, modify and maintain individual regional architectures </w:t>
            </w:r>
          </w:p>
          <w:p w:rsidR="002A183C" w:rsidRPr="00F74CD0" w:rsidRDefault="00F74CD0" w:rsidP="003362D0">
            <w:pPr>
              <w:pStyle w:val="ListParagraph"/>
              <w:numPr>
                <w:ilvl w:val="0"/>
                <w:numId w:val="9"/>
              </w:numPr>
              <w:rPr>
                <w:rFonts w:ascii="Arial Narrow" w:hAnsi="Arial Narrow"/>
                <w:sz w:val="20"/>
                <w:szCs w:val="20"/>
              </w:rPr>
            </w:pPr>
            <w:r w:rsidRPr="004A2100">
              <w:rPr>
                <w:rFonts w:ascii="Arial Narrow" w:hAnsi="Arial Narrow"/>
                <w:sz w:val="20"/>
                <w:szCs w:val="20"/>
              </w:rPr>
              <w:t xml:space="preserve">All users have the ability to </w:t>
            </w:r>
            <w:r w:rsidR="003362D0">
              <w:rPr>
                <w:rFonts w:ascii="Arial Narrow" w:hAnsi="Arial Narrow"/>
                <w:sz w:val="20"/>
                <w:szCs w:val="20"/>
              </w:rPr>
              <w:t xml:space="preserve">not only </w:t>
            </w:r>
            <w:r w:rsidRPr="004A2100">
              <w:rPr>
                <w:rFonts w:ascii="Arial Narrow" w:hAnsi="Arial Narrow"/>
                <w:sz w:val="20"/>
                <w:szCs w:val="20"/>
              </w:rPr>
              <w:t xml:space="preserve">search </w:t>
            </w:r>
            <w:r w:rsidR="003362D0">
              <w:rPr>
                <w:rFonts w:ascii="Arial Narrow" w:hAnsi="Arial Narrow"/>
                <w:sz w:val="20"/>
                <w:szCs w:val="20"/>
              </w:rPr>
              <w:t xml:space="preserve">their own </w:t>
            </w:r>
            <w:r w:rsidRPr="004A2100">
              <w:rPr>
                <w:rFonts w:ascii="Arial Narrow" w:hAnsi="Arial Narrow"/>
                <w:sz w:val="20"/>
                <w:szCs w:val="20"/>
              </w:rPr>
              <w:t>ITS plans and elements of uploaded information</w:t>
            </w:r>
            <w:r w:rsidR="003362D0">
              <w:rPr>
                <w:rFonts w:ascii="Arial Narrow" w:hAnsi="Arial Narrow"/>
                <w:sz w:val="20"/>
                <w:szCs w:val="20"/>
              </w:rPr>
              <w:t>, but they can also search any architecture that has been uploaded into the database</w:t>
            </w:r>
            <w:r w:rsidRPr="004A2100">
              <w:rPr>
                <w:rFonts w:ascii="Arial Narrow" w:hAnsi="Arial Narrow"/>
                <w:sz w:val="20"/>
                <w:szCs w:val="20"/>
              </w:rPr>
              <w:t xml:space="preserve">. </w:t>
            </w:r>
          </w:p>
        </w:tc>
      </w:tr>
      <w:tr w:rsidR="002A183C" w:rsidTr="00237101">
        <w:trPr>
          <w:cantSplit/>
          <w:trHeight w:val="156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4A2100" w:rsidRDefault="003362D0" w:rsidP="004A2100">
            <w:pPr>
              <w:numPr>
                <w:ilvl w:val="0"/>
                <w:numId w:val="11"/>
              </w:numPr>
            </w:pPr>
            <w:r>
              <w:rPr>
                <w:rFonts w:ascii="Arial Narrow" w:hAnsi="Arial Narrow"/>
              </w:rPr>
              <w:t>Home</w:t>
            </w:r>
            <w:r w:rsidR="004A2100">
              <w:rPr>
                <w:rFonts w:ascii="Arial Narrow" w:hAnsi="Arial Narrow"/>
              </w:rPr>
              <w:t xml:space="preserve"> Page - </w:t>
            </w:r>
            <w:hyperlink r:id="rId10" w:history="1">
              <w:r w:rsidR="004A2100" w:rsidRPr="005446F4">
                <w:rPr>
                  <w:rStyle w:val="Hyperlink"/>
                </w:rPr>
                <w:t>http://149.136.20.175/NetApps/Systembuilder/Default.aspx</w:t>
              </w:r>
            </w:hyperlink>
          </w:p>
          <w:p w:rsidR="002A183C" w:rsidRDefault="004A2100" w:rsidP="003362D0">
            <w:pPr>
              <w:numPr>
                <w:ilvl w:val="0"/>
                <w:numId w:val="11"/>
              </w:numPr>
              <w:rPr>
                <w:rFonts w:ascii="Arial Narrow" w:hAnsi="Arial Narrow"/>
              </w:rPr>
            </w:pPr>
            <w:r>
              <w:rPr>
                <w:rFonts w:ascii="Arial Narrow" w:hAnsi="Arial Narrow"/>
              </w:rPr>
              <w:t xml:space="preserve">Search </w:t>
            </w:r>
            <w:r w:rsidR="003362D0">
              <w:rPr>
                <w:rFonts w:ascii="Arial Narrow" w:hAnsi="Arial Narrow"/>
              </w:rPr>
              <w:t xml:space="preserve">Architectures </w:t>
            </w:r>
            <w:r>
              <w:rPr>
                <w:rFonts w:ascii="Arial Narrow" w:hAnsi="Arial Narrow"/>
              </w:rPr>
              <w:t xml:space="preserve">Page - </w:t>
            </w:r>
            <w:hyperlink r:id="rId11" w:history="1">
              <w:r w:rsidRPr="005446F4">
                <w:rPr>
                  <w:rStyle w:val="Hyperlink"/>
                  <w:noProof/>
                </w:rPr>
                <w:t>http://149.136.20.175/NetApps/Systembuilder/SearchText.aspx</w:t>
              </w:r>
            </w:hyperlink>
          </w:p>
        </w:tc>
      </w:tr>
      <w:tr w:rsidR="002A183C" w:rsidTr="00237101">
        <w:trPr>
          <w:cantSplit/>
          <w:trHeight w:val="2465"/>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Pr="004A2100" w:rsidRDefault="002A183C" w:rsidP="002A183C">
            <w:pPr>
              <w:numPr>
                <w:ilvl w:val="0"/>
                <w:numId w:val="6"/>
              </w:numPr>
              <w:rPr>
                <w:rFonts w:ascii="Arial Narrow" w:hAnsi="Arial Narrow"/>
              </w:rPr>
            </w:pPr>
            <w:r w:rsidRPr="004A2100">
              <w:rPr>
                <w:rFonts w:ascii="Arial Narrow" w:hAnsi="Arial Narrow"/>
              </w:rPr>
              <w:t>Briefly describe the history of its development.</w:t>
            </w:r>
          </w:p>
          <w:p w:rsidR="004A2100" w:rsidRPr="004A2100" w:rsidRDefault="004A2100" w:rsidP="004A2100">
            <w:pPr>
              <w:pStyle w:val="ListParagraph"/>
              <w:numPr>
                <w:ilvl w:val="0"/>
                <w:numId w:val="12"/>
              </w:numPr>
              <w:rPr>
                <w:rFonts w:ascii="Arial Narrow" w:hAnsi="Arial Narrow"/>
                <w:sz w:val="20"/>
                <w:szCs w:val="20"/>
              </w:rPr>
            </w:pPr>
            <w:r w:rsidRPr="004A2100">
              <w:rPr>
                <w:rFonts w:ascii="Arial Narrow" w:hAnsi="Arial Narrow"/>
                <w:sz w:val="20"/>
                <w:szCs w:val="20"/>
              </w:rPr>
              <w:t xml:space="preserve">In 2004, the California Statewide ITS Architecture and System Plan was created </w:t>
            </w:r>
            <w:r>
              <w:rPr>
                <w:rFonts w:ascii="Arial Narrow" w:hAnsi="Arial Narrow"/>
                <w:sz w:val="20"/>
                <w:szCs w:val="20"/>
              </w:rPr>
              <w:t>which</w:t>
            </w:r>
            <w:r w:rsidRPr="004A2100">
              <w:rPr>
                <w:rFonts w:ascii="Arial Narrow" w:hAnsi="Arial Narrow"/>
                <w:sz w:val="20"/>
                <w:szCs w:val="20"/>
              </w:rPr>
              <w:t xml:space="preserve"> laid the ground work for planning, programming and deploying future generations of ITS. </w:t>
            </w:r>
          </w:p>
          <w:p w:rsidR="004A2100" w:rsidRPr="004A2100" w:rsidRDefault="004A2100" w:rsidP="004A2100">
            <w:pPr>
              <w:pStyle w:val="ListParagraph"/>
              <w:numPr>
                <w:ilvl w:val="0"/>
                <w:numId w:val="12"/>
              </w:numPr>
              <w:rPr>
                <w:rFonts w:ascii="Arial Narrow" w:hAnsi="Arial Narrow"/>
                <w:sz w:val="20"/>
                <w:szCs w:val="20"/>
              </w:rPr>
            </w:pPr>
            <w:r w:rsidRPr="004A2100">
              <w:rPr>
                <w:rFonts w:ascii="Arial Narrow" w:hAnsi="Arial Narrow"/>
                <w:sz w:val="20"/>
                <w:szCs w:val="20"/>
              </w:rPr>
              <w:t xml:space="preserve">The result was a graphical and textual representation of regional architectures within and across Caltrans Districts and boundaries. </w:t>
            </w:r>
          </w:p>
          <w:p w:rsidR="004A2100" w:rsidRPr="004A2100" w:rsidRDefault="004A2100" w:rsidP="004A2100">
            <w:pPr>
              <w:pStyle w:val="ListParagraph"/>
              <w:numPr>
                <w:ilvl w:val="0"/>
                <w:numId w:val="12"/>
              </w:numPr>
              <w:rPr>
                <w:rFonts w:ascii="Arial Narrow" w:hAnsi="Arial Narrow"/>
                <w:sz w:val="20"/>
                <w:szCs w:val="20"/>
              </w:rPr>
            </w:pPr>
            <w:r w:rsidRPr="004A2100">
              <w:rPr>
                <w:rFonts w:ascii="Arial Narrow" w:hAnsi="Arial Narrow"/>
                <w:sz w:val="20"/>
                <w:szCs w:val="20"/>
              </w:rPr>
              <w:t xml:space="preserve">In 2011, ITS-SB was created to provide a clearinghouse of ITS transportation technology and provide the ability for stakeholders to upload, modify and maintain individual ITS architectures. </w:t>
            </w:r>
          </w:p>
          <w:p w:rsidR="004A2100" w:rsidRPr="004A2100" w:rsidRDefault="004A2100" w:rsidP="004A2100">
            <w:pPr>
              <w:pStyle w:val="ListParagraph"/>
              <w:numPr>
                <w:ilvl w:val="0"/>
                <w:numId w:val="12"/>
              </w:numPr>
              <w:rPr>
                <w:rFonts w:ascii="Arial Narrow" w:hAnsi="Arial Narrow"/>
                <w:sz w:val="20"/>
                <w:szCs w:val="20"/>
              </w:rPr>
            </w:pPr>
            <w:r w:rsidRPr="004A2100">
              <w:rPr>
                <w:rFonts w:ascii="Arial Narrow" w:hAnsi="Arial Narrow"/>
                <w:sz w:val="20"/>
                <w:szCs w:val="20"/>
              </w:rPr>
              <w:t xml:space="preserve">The database sat dormant for a period of time until </w:t>
            </w:r>
            <w:r>
              <w:rPr>
                <w:rFonts w:ascii="Arial Narrow" w:hAnsi="Arial Narrow"/>
                <w:sz w:val="20"/>
                <w:szCs w:val="20"/>
              </w:rPr>
              <w:t xml:space="preserve">a final location was </w:t>
            </w:r>
            <w:r w:rsidR="00247BAC">
              <w:rPr>
                <w:rFonts w:ascii="Arial Narrow" w:hAnsi="Arial Narrow"/>
                <w:sz w:val="20"/>
                <w:szCs w:val="20"/>
              </w:rPr>
              <w:t>located</w:t>
            </w:r>
            <w:r>
              <w:rPr>
                <w:rFonts w:ascii="Arial Narrow" w:hAnsi="Arial Narrow"/>
                <w:sz w:val="20"/>
                <w:szCs w:val="20"/>
              </w:rPr>
              <w:t xml:space="preserve"> within Caltrans</w:t>
            </w:r>
          </w:p>
          <w:p w:rsidR="002A183C" w:rsidRPr="004A2100" w:rsidRDefault="004A2100" w:rsidP="00BF20B2">
            <w:pPr>
              <w:pStyle w:val="ListParagraph"/>
              <w:numPr>
                <w:ilvl w:val="0"/>
                <w:numId w:val="12"/>
              </w:numPr>
              <w:rPr>
                <w:rFonts w:ascii="Arial Narrow" w:hAnsi="Arial Narrow"/>
                <w:sz w:val="20"/>
                <w:szCs w:val="20"/>
              </w:rPr>
            </w:pPr>
            <w:r w:rsidRPr="004A2100">
              <w:rPr>
                <w:rFonts w:ascii="Arial Narrow" w:hAnsi="Arial Narrow"/>
                <w:sz w:val="20"/>
                <w:szCs w:val="20"/>
              </w:rPr>
              <w:t xml:space="preserve">In 2016, the database was revised, enhanced and permanently housed within the Caltrans Network with an external internet link. </w:t>
            </w:r>
          </w:p>
        </w:tc>
      </w:tr>
      <w:tr w:rsidR="002A183C" w:rsidTr="00BF20B2">
        <w:trPr>
          <w:cantSplit/>
          <w:trHeight w:val="8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2A183C" w:rsidRDefault="004A2100" w:rsidP="004A2100">
            <w:pPr>
              <w:keepLines/>
              <w:numPr>
                <w:ilvl w:val="0"/>
                <w:numId w:val="13"/>
              </w:numPr>
              <w:rPr>
                <w:rFonts w:ascii="Arial Narrow" w:hAnsi="Arial Narrow"/>
              </w:rPr>
            </w:pPr>
            <w:r w:rsidRPr="004A2100">
              <w:rPr>
                <w:rFonts w:ascii="Arial Narrow" w:hAnsi="Arial Narrow"/>
              </w:rPr>
              <w:t xml:space="preserve">ITS-SB </w:t>
            </w:r>
            <w:r>
              <w:rPr>
                <w:rFonts w:ascii="Arial Narrow" w:hAnsi="Arial Narrow"/>
              </w:rPr>
              <w:t xml:space="preserve">was only </w:t>
            </w:r>
            <w:r w:rsidRPr="004A2100">
              <w:rPr>
                <w:rFonts w:ascii="Arial Narrow" w:hAnsi="Arial Narrow"/>
              </w:rPr>
              <w:t xml:space="preserve">recently revised and enhanced, </w:t>
            </w:r>
            <w:r>
              <w:rPr>
                <w:rFonts w:ascii="Arial Narrow" w:hAnsi="Arial Narrow"/>
              </w:rPr>
              <w:t>therefor</w:t>
            </w:r>
            <w:r w:rsidR="00BF20B2">
              <w:rPr>
                <w:rFonts w:ascii="Arial Narrow" w:hAnsi="Arial Narrow"/>
              </w:rPr>
              <w:t>e</w:t>
            </w:r>
            <w:r>
              <w:rPr>
                <w:rFonts w:ascii="Arial Narrow" w:hAnsi="Arial Narrow"/>
              </w:rPr>
              <w:t xml:space="preserve"> </w:t>
            </w:r>
            <w:r w:rsidRPr="004A2100">
              <w:rPr>
                <w:rFonts w:ascii="Arial Narrow" w:hAnsi="Arial Narrow"/>
              </w:rPr>
              <w:t xml:space="preserve">Caltrans and Regional stakeholders are just now becoming more familiar with the functionality of the ITS-SB tool.  </w:t>
            </w:r>
          </w:p>
        </w:tc>
      </w:tr>
      <w:tr w:rsidR="002A183C" w:rsidTr="00237101">
        <w:trPr>
          <w:cantSplit/>
          <w:trHeight w:val="1241"/>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BF20B2" w:rsidRPr="00BF20B2" w:rsidRDefault="00BF20B2" w:rsidP="00BF20B2">
            <w:pPr>
              <w:keepLines/>
              <w:numPr>
                <w:ilvl w:val="0"/>
                <w:numId w:val="13"/>
              </w:numPr>
              <w:rPr>
                <w:rFonts w:ascii="Arial Narrow" w:hAnsi="Arial Narrow"/>
              </w:rPr>
            </w:pPr>
            <w:r w:rsidRPr="00BF20B2">
              <w:rPr>
                <w:rFonts w:ascii="Arial Narrow" w:hAnsi="Arial Narrow"/>
              </w:rPr>
              <w:t xml:space="preserve">ITS-SB requires ongoing </w:t>
            </w:r>
            <w:r w:rsidR="00271DE9">
              <w:rPr>
                <w:rFonts w:ascii="Arial Narrow" w:hAnsi="Arial Narrow"/>
              </w:rPr>
              <w:t>effort</w:t>
            </w:r>
            <w:r w:rsidRPr="00BF20B2">
              <w:rPr>
                <w:rFonts w:ascii="Arial Narrow" w:hAnsi="Arial Narrow"/>
              </w:rPr>
              <w:t xml:space="preserve"> to enable the inclusion of additional ITS architectures and </w:t>
            </w:r>
            <w:r>
              <w:rPr>
                <w:rFonts w:ascii="Arial Narrow" w:hAnsi="Arial Narrow"/>
              </w:rPr>
              <w:t xml:space="preserve">the </w:t>
            </w:r>
            <w:r w:rsidRPr="00BF20B2">
              <w:rPr>
                <w:rFonts w:ascii="Arial Narrow" w:hAnsi="Arial Narrow"/>
              </w:rPr>
              <w:t>latest version of the FHWA Turbo Architecture database.</w:t>
            </w:r>
          </w:p>
          <w:p w:rsidR="002A183C" w:rsidRDefault="00271DE9" w:rsidP="00271DE9">
            <w:pPr>
              <w:keepLines/>
              <w:numPr>
                <w:ilvl w:val="0"/>
                <w:numId w:val="13"/>
              </w:numPr>
              <w:rPr>
                <w:rFonts w:ascii="Arial Narrow" w:hAnsi="Arial Narrow"/>
              </w:rPr>
            </w:pPr>
            <w:r>
              <w:rPr>
                <w:rFonts w:ascii="Arial Narrow" w:hAnsi="Arial Narrow"/>
              </w:rPr>
              <w:t>O</w:t>
            </w:r>
            <w:r w:rsidR="00BF20B2" w:rsidRPr="00BF20B2">
              <w:rPr>
                <w:rFonts w:ascii="Arial Narrow" w:hAnsi="Arial Narrow"/>
              </w:rPr>
              <w:t xml:space="preserve">ngoing maintenance </w:t>
            </w:r>
            <w:r>
              <w:rPr>
                <w:rFonts w:ascii="Arial Narrow" w:hAnsi="Arial Narrow"/>
              </w:rPr>
              <w:t xml:space="preserve">is also necessary to </w:t>
            </w:r>
            <w:r w:rsidR="00BF20B2" w:rsidRPr="00BF20B2">
              <w:rPr>
                <w:rFonts w:ascii="Arial Narrow" w:hAnsi="Arial Narrow"/>
              </w:rPr>
              <w:t xml:space="preserve">ensure that ITS-SB remains functional during </w:t>
            </w:r>
            <w:r>
              <w:rPr>
                <w:rFonts w:ascii="Arial Narrow" w:hAnsi="Arial Narrow"/>
              </w:rPr>
              <w:t xml:space="preserve">any </w:t>
            </w:r>
            <w:r w:rsidR="00BF20B2">
              <w:rPr>
                <w:rFonts w:ascii="Arial Narrow" w:hAnsi="Arial Narrow"/>
              </w:rPr>
              <w:t>necessary</w:t>
            </w:r>
            <w:r w:rsidR="00BF20B2" w:rsidRPr="00BF20B2">
              <w:rPr>
                <w:rFonts w:ascii="Arial Narrow" w:hAnsi="Arial Narrow"/>
              </w:rPr>
              <w:t xml:space="preserve"> security patch installations</w:t>
            </w:r>
            <w:r w:rsidR="00BF20B2">
              <w:rPr>
                <w:rFonts w:ascii="Arial Narrow" w:hAnsi="Arial Narrow"/>
              </w:rPr>
              <w:t xml:space="preserve"> and</w:t>
            </w:r>
            <w:r>
              <w:rPr>
                <w:rFonts w:ascii="Arial Narrow" w:hAnsi="Arial Narrow"/>
              </w:rPr>
              <w:t>/or</w:t>
            </w:r>
            <w:r w:rsidR="00BF20B2">
              <w:rPr>
                <w:rFonts w:ascii="Arial Narrow" w:hAnsi="Arial Narrow"/>
              </w:rPr>
              <w:t xml:space="preserve"> other minor </w:t>
            </w:r>
            <w:r>
              <w:rPr>
                <w:rFonts w:ascii="Arial Narrow" w:hAnsi="Arial Narrow"/>
              </w:rPr>
              <w:t>fixes</w:t>
            </w:r>
            <w:r w:rsidR="00BF20B2">
              <w:rPr>
                <w:rFonts w:ascii="Arial Narrow" w:hAnsi="Arial Narrow"/>
              </w:rPr>
              <w:t xml:space="preserve"> as needed</w:t>
            </w:r>
            <w:r w:rsidR="00BF20B2" w:rsidRPr="00BF20B2">
              <w:rPr>
                <w:rFonts w:ascii="Arial Narrow" w:hAnsi="Arial Narrow"/>
              </w:rPr>
              <w:t xml:space="preserve">. </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Default="002A183C" w:rsidP="00BF20B2">
            <w:pPr>
              <w:keepLines/>
              <w:numPr>
                <w:ilvl w:val="0"/>
                <w:numId w:val="6"/>
              </w:numPr>
              <w:rPr>
                <w:rFonts w:ascii="Arial Narrow" w:hAnsi="Arial Narrow"/>
              </w:rPr>
            </w:pPr>
            <w:r>
              <w:rPr>
                <w:rFonts w:ascii="Arial Narrow" w:hAnsi="Arial Narrow"/>
              </w:rPr>
              <w:t xml:space="preserve">Have other organizations used this technology? Yes or No: </w:t>
            </w:r>
            <w:r w:rsidR="00BF20B2">
              <w:rPr>
                <w:rFonts w:ascii="Arial Narrow" w:hAnsi="Arial Narrow"/>
              </w:rPr>
              <w:t>No</w:t>
            </w:r>
            <w:r w:rsidRPr="002A183C">
              <w:rPr>
                <w:rFonts w:ascii="Arial Narrow" w:hAnsi="Arial Narrow"/>
              </w:rPr>
              <w:t xml:space="preserve"> If so, please list organization names and contacts.</w:t>
            </w:r>
          </w:p>
          <w:p w:rsidR="00BF20B2" w:rsidRPr="002A183C" w:rsidRDefault="00BF20B2" w:rsidP="00BF20B2">
            <w:pPr>
              <w:keepLines/>
              <w:numPr>
                <w:ilvl w:val="0"/>
                <w:numId w:val="14"/>
              </w:numPr>
              <w:rPr>
                <w:rFonts w:ascii="Arial Narrow" w:hAnsi="Arial Narrow"/>
              </w:rPr>
            </w:pPr>
            <w:r>
              <w:rPr>
                <w:rFonts w:ascii="Arial Narrow" w:hAnsi="Arial Narrow"/>
              </w:rPr>
              <w:t xml:space="preserve">To our knowledge, no other state </w:t>
            </w:r>
            <w:r w:rsidR="00271DE9">
              <w:rPr>
                <w:rFonts w:ascii="Arial Narrow" w:hAnsi="Arial Narrow"/>
              </w:rPr>
              <w:t xml:space="preserve">has </w:t>
            </w:r>
            <w:r>
              <w:rPr>
                <w:rFonts w:ascii="Arial Narrow" w:hAnsi="Arial Narrow"/>
              </w:rPr>
              <w:t>this ITS database tool, functionality or capability</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1"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2"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3"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4"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5"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6"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7"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8"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9"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0"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1"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2"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r>
      <w:tr w:rsidR="002A183C" w:rsidTr="00BF20B2">
        <w:trPr>
          <w:cantSplit/>
          <w:trHeight w:val="242"/>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3"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4"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5"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6"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r>
      <w:tr w:rsidR="002A183C" w:rsidTr="00E91481">
        <w:trPr>
          <w:cantSplit/>
          <w:trHeight w:val="3653"/>
        </w:trPr>
        <w:tc>
          <w:tcPr>
            <w:tcW w:w="1278" w:type="dxa"/>
            <w:vMerge w:val="restart"/>
          </w:tcPr>
          <w:p w:rsidR="002A183C" w:rsidRDefault="002A183C">
            <w:pPr>
              <w:jc w:val="center"/>
              <w:rPr>
                <w:rFonts w:ascii="Arial Narrow" w:hAnsi="Arial Narrow"/>
                <w:b/>
              </w:rPr>
            </w:pPr>
            <w:r>
              <w:rPr>
                <w:rFonts w:ascii="Arial Narrow" w:hAnsi="Arial Narrow"/>
                <w:b/>
              </w:rPr>
              <w:lastRenderedPageBreak/>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BF20B2" w:rsidRPr="00BF20B2" w:rsidRDefault="00BF20B2" w:rsidP="00BF20B2">
            <w:pPr>
              <w:rPr>
                <w:rFonts w:ascii="Arial Narrow" w:hAnsi="Arial Narrow"/>
              </w:rPr>
            </w:pPr>
            <w:r w:rsidRPr="00BF20B2">
              <w:rPr>
                <w:rFonts w:ascii="Arial Narrow" w:hAnsi="Arial Narrow"/>
              </w:rPr>
              <w:t>ITS-SB enables</w:t>
            </w:r>
            <w:r>
              <w:rPr>
                <w:rFonts w:ascii="Arial Narrow" w:hAnsi="Arial Narrow"/>
              </w:rPr>
              <w:t xml:space="preserve"> </w:t>
            </w:r>
            <w:r w:rsidR="00271DE9">
              <w:rPr>
                <w:rFonts w:ascii="Arial Narrow" w:hAnsi="Arial Narrow"/>
              </w:rPr>
              <w:t>s</w:t>
            </w:r>
            <w:r>
              <w:rPr>
                <w:rFonts w:ascii="Arial Narrow" w:hAnsi="Arial Narrow"/>
              </w:rPr>
              <w:t>takeholders to</w:t>
            </w:r>
            <w:r w:rsidR="00A02BF7">
              <w:rPr>
                <w:rFonts w:ascii="Arial Narrow" w:hAnsi="Arial Narrow"/>
              </w:rPr>
              <w:t xml:space="preserve"> efficiently and effectively</w:t>
            </w:r>
            <w:r w:rsidRPr="00BF20B2">
              <w:rPr>
                <w:rFonts w:ascii="Arial Narrow" w:hAnsi="Arial Narrow"/>
              </w:rPr>
              <w:t>;</w:t>
            </w:r>
          </w:p>
          <w:p w:rsidR="00BF20B2" w:rsidRDefault="00BF20B2" w:rsidP="00BF20B2">
            <w:pPr>
              <w:numPr>
                <w:ilvl w:val="0"/>
                <w:numId w:val="14"/>
              </w:numPr>
              <w:rPr>
                <w:rFonts w:ascii="Arial Narrow" w:hAnsi="Arial Narrow"/>
              </w:rPr>
            </w:pPr>
            <w:r>
              <w:rPr>
                <w:rFonts w:ascii="Arial Narrow" w:hAnsi="Arial Narrow"/>
              </w:rPr>
              <w:t>C</w:t>
            </w:r>
            <w:r w:rsidRPr="00BF20B2">
              <w:rPr>
                <w:rFonts w:ascii="Arial Narrow" w:hAnsi="Arial Narrow"/>
              </w:rPr>
              <w:t xml:space="preserve">omply with Federal Regulations (23 CFR 655 and 940) by ensuring ITS projects conform to the National ITS Architecture </w:t>
            </w:r>
          </w:p>
          <w:p w:rsidR="00271DE9" w:rsidRPr="00BF20B2" w:rsidRDefault="00271DE9" w:rsidP="00BF20B2">
            <w:pPr>
              <w:numPr>
                <w:ilvl w:val="0"/>
                <w:numId w:val="14"/>
              </w:numPr>
              <w:rPr>
                <w:rFonts w:ascii="Arial Narrow" w:hAnsi="Arial Narrow"/>
              </w:rPr>
            </w:pPr>
            <w:r>
              <w:rPr>
                <w:rFonts w:ascii="Arial Narrow" w:hAnsi="Arial Narrow"/>
              </w:rPr>
              <w:t xml:space="preserve">Share both existing and planned ITS </w:t>
            </w:r>
            <w:r w:rsidR="00E91481">
              <w:rPr>
                <w:rFonts w:ascii="Arial Narrow" w:hAnsi="Arial Narrow"/>
              </w:rPr>
              <w:t>deployments with partner agencies</w:t>
            </w:r>
          </w:p>
          <w:p w:rsidR="00BF20B2" w:rsidRPr="00BF20B2" w:rsidRDefault="00BF20B2" w:rsidP="00BF20B2">
            <w:pPr>
              <w:numPr>
                <w:ilvl w:val="0"/>
                <w:numId w:val="14"/>
              </w:numPr>
              <w:rPr>
                <w:rFonts w:ascii="Arial Narrow" w:hAnsi="Arial Narrow"/>
              </w:rPr>
            </w:pPr>
            <w:r>
              <w:rPr>
                <w:rFonts w:ascii="Arial Narrow" w:hAnsi="Arial Narrow"/>
              </w:rPr>
              <w:t>D</w:t>
            </w:r>
            <w:r w:rsidRPr="00BF20B2">
              <w:rPr>
                <w:rFonts w:ascii="Arial Narrow" w:hAnsi="Arial Narrow"/>
              </w:rPr>
              <w:t>evelop</w:t>
            </w:r>
            <w:r>
              <w:rPr>
                <w:rFonts w:ascii="Arial Narrow" w:hAnsi="Arial Narrow"/>
              </w:rPr>
              <w:t xml:space="preserve"> </w:t>
            </w:r>
            <w:r w:rsidRPr="00BF20B2">
              <w:rPr>
                <w:rFonts w:ascii="Arial Narrow" w:hAnsi="Arial Narrow"/>
              </w:rPr>
              <w:t>regional ITS Architecture</w:t>
            </w:r>
            <w:r>
              <w:rPr>
                <w:rFonts w:ascii="Arial Narrow" w:hAnsi="Arial Narrow"/>
              </w:rPr>
              <w:t>s</w:t>
            </w:r>
            <w:r w:rsidRPr="00BF20B2">
              <w:rPr>
                <w:rFonts w:ascii="Arial Narrow" w:hAnsi="Arial Narrow"/>
              </w:rPr>
              <w:t xml:space="preserve"> that </w:t>
            </w:r>
            <w:r>
              <w:rPr>
                <w:rFonts w:ascii="Arial Narrow" w:hAnsi="Arial Narrow"/>
              </w:rPr>
              <w:t>are</w:t>
            </w:r>
            <w:r w:rsidRPr="00BF20B2">
              <w:rPr>
                <w:rFonts w:ascii="Arial Narrow" w:hAnsi="Arial Narrow"/>
              </w:rPr>
              <w:t xml:space="preserve"> consistent with the National ITS Architecture</w:t>
            </w:r>
          </w:p>
          <w:p w:rsidR="00A02BF7" w:rsidRDefault="00A02BF7" w:rsidP="00BF20B2">
            <w:pPr>
              <w:numPr>
                <w:ilvl w:val="0"/>
                <w:numId w:val="14"/>
              </w:numPr>
              <w:rPr>
                <w:rFonts w:ascii="Arial Narrow" w:hAnsi="Arial Narrow"/>
              </w:rPr>
            </w:pPr>
            <w:r>
              <w:rPr>
                <w:rFonts w:ascii="Arial Narrow" w:hAnsi="Arial Narrow"/>
              </w:rPr>
              <w:t>Develop r</w:t>
            </w:r>
            <w:r w:rsidR="00BF20B2" w:rsidRPr="00BF20B2">
              <w:rPr>
                <w:rFonts w:ascii="Arial Narrow" w:hAnsi="Arial Narrow"/>
              </w:rPr>
              <w:t>egional ITS Architecture</w:t>
            </w:r>
            <w:r>
              <w:rPr>
                <w:rFonts w:ascii="Arial Narrow" w:hAnsi="Arial Narrow"/>
              </w:rPr>
              <w:t>s that are</w:t>
            </w:r>
            <w:r w:rsidR="00BF20B2" w:rsidRPr="00BF20B2">
              <w:rPr>
                <w:rFonts w:ascii="Arial Narrow" w:hAnsi="Arial Narrow"/>
              </w:rPr>
              <w:t xml:space="preserve"> consistent with the Statewide or Metropolitan planning process</w:t>
            </w:r>
          </w:p>
          <w:p w:rsidR="00BF20B2" w:rsidRPr="00BF20B2" w:rsidRDefault="00A02BF7" w:rsidP="00BF20B2">
            <w:pPr>
              <w:numPr>
                <w:ilvl w:val="0"/>
                <w:numId w:val="14"/>
              </w:numPr>
              <w:rPr>
                <w:rFonts w:ascii="Arial Narrow" w:hAnsi="Arial Narrow"/>
              </w:rPr>
            </w:pPr>
            <w:r>
              <w:rPr>
                <w:rFonts w:ascii="Arial Narrow" w:hAnsi="Arial Narrow"/>
              </w:rPr>
              <w:t>Develop Regional Transportation Plans (RTP)s and a host of valuable plans</w:t>
            </w:r>
          </w:p>
          <w:p w:rsidR="00BF20B2" w:rsidRDefault="00A02BF7" w:rsidP="00BF20B2">
            <w:pPr>
              <w:numPr>
                <w:ilvl w:val="0"/>
                <w:numId w:val="14"/>
              </w:numPr>
              <w:rPr>
                <w:rFonts w:ascii="Arial Narrow" w:hAnsi="Arial Narrow"/>
              </w:rPr>
            </w:pPr>
            <w:r>
              <w:rPr>
                <w:rFonts w:ascii="Arial Narrow" w:hAnsi="Arial Narrow"/>
              </w:rPr>
              <w:t>D</w:t>
            </w:r>
            <w:r w:rsidR="00BF20B2" w:rsidRPr="00BF20B2">
              <w:rPr>
                <w:rFonts w:ascii="Arial Narrow" w:hAnsi="Arial Narrow"/>
              </w:rPr>
              <w:t xml:space="preserve">evelop </w:t>
            </w:r>
            <w:r>
              <w:rPr>
                <w:rFonts w:ascii="Arial Narrow" w:hAnsi="Arial Narrow"/>
              </w:rPr>
              <w:t>required programs: State Highway Operations and Protection Program (SHOPP), Regional Transportation Improvement Program (</w:t>
            </w:r>
            <w:r w:rsidR="00BF20B2" w:rsidRPr="00BF20B2">
              <w:rPr>
                <w:rFonts w:ascii="Arial Narrow" w:hAnsi="Arial Narrow"/>
              </w:rPr>
              <w:t>RTIP</w:t>
            </w:r>
            <w:r>
              <w:rPr>
                <w:rFonts w:ascii="Arial Narrow" w:hAnsi="Arial Narrow"/>
              </w:rPr>
              <w:t xml:space="preserve">), </w:t>
            </w:r>
            <w:r w:rsidR="00BF20B2" w:rsidRPr="00BF20B2">
              <w:rPr>
                <w:rFonts w:ascii="Arial Narrow" w:hAnsi="Arial Narrow"/>
              </w:rPr>
              <w:t>Transportation Improvement Program</w:t>
            </w:r>
            <w:r>
              <w:rPr>
                <w:rFonts w:ascii="Arial Narrow" w:hAnsi="Arial Narrow"/>
              </w:rPr>
              <w:t xml:space="preserve"> (TIP), Regional Transportation Improvement Program (RTIP), and State Transportation Improvement Program</w:t>
            </w:r>
            <w:r w:rsidR="00BF20B2" w:rsidRPr="00BF20B2">
              <w:rPr>
                <w:rFonts w:ascii="Arial Narrow" w:hAnsi="Arial Narrow"/>
              </w:rPr>
              <w:t xml:space="preserve"> (STIP)</w:t>
            </w:r>
          </w:p>
          <w:p w:rsidR="002A183C" w:rsidRDefault="00271DE9" w:rsidP="00E91481">
            <w:pPr>
              <w:numPr>
                <w:ilvl w:val="0"/>
                <w:numId w:val="14"/>
              </w:numPr>
              <w:rPr>
                <w:rFonts w:ascii="Arial Narrow" w:hAnsi="Arial Narrow"/>
              </w:rPr>
            </w:pPr>
            <w:r w:rsidRPr="00E91481">
              <w:rPr>
                <w:rFonts w:ascii="Arial Narrow" w:hAnsi="Arial Narrow"/>
              </w:rPr>
              <w:t>Develop asset management plans</w:t>
            </w:r>
            <w:r w:rsidR="00237101">
              <w:rPr>
                <w:rFonts w:ascii="Arial Narrow" w:hAnsi="Arial Narrow"/>
              </w:rPr>
              <w:t xml:space="preserve"> that include ITS elements</w:t>
            </w:r>
          </w:p>
        </w:tc>
      </w:tr>
      <w:tr w:rsidR="002A183C" w:rsidTr="001C4B9E">
        <w:trPr>
          <w:cantSplit/>
          <w:trHeight w:val="3149"/>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E91481" w:rsidRPr="00E91481" w:rsidRDefault="00E91481" w:rsidP="00E91481">
            <w:pPr>
              <w:keepLines/>
              <w:rPr>
                <w:rFonts w:ascii="Arial Narrow" w:hAnsi="Arial Narrow"/>
              </w:rPr>
            </w:pPr>
            <w:r w:rsidRPr="00E91481">
              <w:rPr>
                <w:rFonts w:ascii="Arial Narrow" w:hAnsi="Arial Narrow"/>
              </w:rPr>
              <w:t xml:space="preserve">The </w:t>
            </w:r>
            <w:r>
              <w:rPr>
                <w:rFonts w:ascii="Arial Narrow" w:hAnsi="Arial Narrow"/>
              </w:rPr>
              <w:t xml:space="preserve">ITS-SB and the </w:t>
            </w:r>
            <w:r w:rsidRPr="00E91481">
              <w:rPr>
                <w:rFonts w:ascii="Arial Narrow" w:hAnsi="Arial Narrow"/>
              </w:rPr>
              <w:t xml:space="preserve">Statewide ITS Architecture (SWITSA) </w:t>
            </w:r>
            <w:r>
              <w:rPr>
                <w:rFonts w:ascii="Arial Narrow" w:hAnsi="Arial Narrow"/>
              </w:rPr>
              <w:t>will play an important role in all</w:t>
            </w:r>
            <w:r w:rsidRPr="00E91481">
              <w:rPr>
                <w:rFonts w:ascii="Arial Narrow" w:hAnsi="Arial Narrow"/>
              </w:rPr>
              <w:t xml:space="preserve"> phases of ITS life</w:t>
            </w:r>
            <w:r>
              <w:rPr>
                <w:rFonts w:ascii="Arial Narrow" w:hAnsi="Arial Narrow"/>
              </w:rPr>
              <w:t>-</w:t>
            </w:r>
            <w:r w:rsidRPr="00E91481">
              <w:rPr>
                <w:rFonts w:ascii="Arial Narrow" w:hAnsi="Arial Narrow"/>
              </w:rPr>
              <w:t xml:space="preserve">cycle </w:t>
            </w:r>
            <w:r>
              <w:rPr>
                <w:rFonts w:ascii="Arial Narrow" w:hAnsi="Arial Narrow"/>
              </w:rPr>
              <w:t>including the</w:t>
            </w:r>
            <w:r w:rsidRPr="00E91481">
              <w:rPr>
                <w:rFonts w:ascii="Arial Narrow" w:hAnsi="Arial Narrow"/>
              </w:rPr>
              <w:t xml:space="preserve"> planning, design, procurement</w:t>
            </w:r>
            <w:r>
              <w:rPr>
                <w:rFonts w:ascii="Arial Narrow" w:hAnsi="Arial Narrow"/>
              </w:rPr>
              <w:t xml:space="preserve">, </w:t>
            </w:r>
            <w:r w:rsidRPr="00E91481">
              <w:rPr>
                <w:rFonts w:ascii="Arial Narrow" w:hAnsi="Arial Narrow"/>
              </w:rPr>
              <w:t>deployment</w:t>
            </w:r>
            <w:r>
              <w:rPr>
                <w:rFonts w:ascii="Arial Narrow" w:hAnsi="Arial Narrow"/>
              </w:rPr>
              <w:t>, and management phases as follows:</w:t>
            </w:r>
          </w:p>
          <w:p w:rsidR="00E91481" w:rsidRPr="00E91481" w:rsidRDefault="00E91481" w:rsidP="00E91481">
            <w:pPr>
              <w:keepLines/>
              <w:numPr>
                <w:ilvl w:val="0"/>
                <w:numId w:val="15"/>
              </w:numPr>
              <w:rPr>
                <w:rFonts w:ascii="Arial Narrow" w:hAnsi="Arial Narrow"/>
              </w:rPr>
            </w:pPr>
            <w:r>
              <w:rPr>
                <w:rFonts w:ascii="Arial Narrow" w:hAnsi="Arial Narrow"/>
              </w:rPr>
              <w:t>Planning: A</w:t>
            </w:r>
            <w:r w:rsidR="001C4B9E">
              <w:rPr>
                <w:rFonts w:ascii="Arial Narrow" w:hAnsi="Arial Narrow"/>
              </w:rPr>
              <w:t xml:space="preserve">n ITS </w:t>
            </w:r>
            <w:r>
              <w:rPr>
                <w:rFonts w:ascii="Arial Narrow" w:hAnsi="Arial Narrow"/>
              </w:rPr>
              <w:t>p</w:t>
            </w:r>
            <w:r w:rsidRPr="00E91481">
              <w:rPr>
                <w:rFonts w:ascii="Arial Narrow" w:hAnsi="Arial Narrow"/>
              </w:rPr>
              <w:t xml:space="preserve">roject’s inclusion in </w:t>
            </w:r>
            <w:r>
              <w:rPr>
                <w:rFonts w:ascii="Arial Narrow" w:hAnsi="Arial Narrow"/>
              </w:rPr>
              <w:t xml:space="preserve">the </w:t>
            </w:r>
            <w:r w:rsidRPr="00E91481">
              <w:rPr>
                <w:rFonts w:ascii="Arial Narrow" w:hAnsi="Arial Narrow"/>
              </w:rPr>
              <w:t xml:space="preserve">ITS-SB </w:t>
            </w:r>
            <w:r w:rsidR="001C4B9E">
              <w:rPr>
                <w:rFonts w:ascii="Arial Narrow" w:hAnsi="Arial Narrow"/>
              </w:rPr>
              <w:t>displays commitment and readiness</w:t>
            </w:r>
            <w:r w:rsidRPr="00E91481">
              <w:rPr>
                <w:rFonts w:ascii="Arial Narrow" w:hAnsi="Arial Narrow"/>
              </w:rPr>
              <w:t xml:space="preserve"> for funding.</w:t>
            </w:r>
          </w:p>
          <w:p w:rsidR="00E91481" w:rsidRPr="00E91481" w:rsidRDefault="00E91481" w:rsidP="00E91481">
            <w:pPr>
              <w:keepLines/>
              <w:numPr>
                <w:ilvl w:val="0"/>
                <w:numId w:val="15"/>
              </w:numPr>
              <w:rPr>
                <w:rFonts w:ascii="Arial Narrow" w:hAnsi="Arial Narrow"/>
              </w:rPr>
            </w:pPr>
            <w:r>
              <w:rPr>
                <w:rFonts w:ascii="Arial Narrow" w:hAnsi="Arial Narrow"/>
              </w:rPr>
              <w:t>Design: E</w:t>
            </w:r>
            <w:r w:rsidRPr="00E91481">
              <w:rPr>
                <w:rFonts w:ascii="Arial Narrow" w:hAnsi="Arial Narrow"/>
              </w:rPr>
              <w:t xml:space="preserve">ach step of the regional architecture process results in guidelines for design.  </w:t>
            </w:r>
          </w:p>
          <w:p w:rsidR="00E91481" w:rsidRPr="00E91481" w:rsidRDefault="00E91481" w:rsidP="00E91481">
            <w:pPr>
              <w:keepLines/>
              <w:numPr>
                <w:ilvl w:val="0"/>
                <w:numId w:val="15"/>
              </w:numPr>
              <w:rPr>
                <w:rFonts w:ascii="Arial Narrow" w:hAnsi="Arial Narrow"/>
              </w:rPr>
            </w:pPr>
            <w:r>
              <w:rPr>
                <w:rFonts w:ascii="Arial Narrow" w:hAnsi="Arial Narrow"/>
              </w:rPr>
              <w:t>P</w:t>
            </w:r>
            <w:r w:rsidRPr="00E91481">
              <w:rPr>
                <w:rFonts w:ascii="Arial Narrow" w:hAnsi="Arial Narrow"/>
              </w:rPr>
              <w:t>rocurement</w:t>
            </w:r>
            <w:r>
              <w:rPr>
                <w:rFonts w:ascii="Arial Narrow" w:hAnsi="Arial Narrow"/>
              </w:rPr>
              <w:t>:</w:t>
            </w:r>
            <w:r w:rsidRPr="00E91481">
              <w:rPr>
                <w:rFonts w:ascii="Arial Narrow" w:hAnsi="Arial Narrow"/>
              </w:rPr>
              <w:t xml:space="preserve"> </w:t>
            </w:r>
            <w:r>
              <w:rPr>
                <w:rFonts w:ascii="Arial Narrow" w:hAnsi="Arial Narrow"/>
              </w:rPr>
              <w:t>F</w:t>
            </w:r>
            <w:r w:rsidRPr="00E91481">
              <w:rPr>
                <w:rFonts w:ascii="Arial Narrow" w:hAnsi="Arial Narrow"/>
              </w:rPr>
              <w:t xml:space="preserve">unctional requirements can be </w:t>
            </w:r>
            <w:r>
              <w:rPr>
                <w:rFonts w:ascii="Arial Narrow" w:hAnsi="Arial Narrow"/>
              </w:rPr>
              <w:t xml:space="preserve">extracted </w:t>
            </w:r>
            <w:r w:rsidRPr="00E91481">
              <w:rPr>
                <w:rFonts w:ascii="Arial Narrow" w:hAnsi="Arial Narrow"/>
              </w:rPr>
              <w:t xml:space="preserve">directly </w:t>
            </w:r>
            <w:r>
              <w:rPr>
                <w:rFonts w:ascii="Arial Narrow" w:hAnsi="Arial Narrow"/>
              </w:rPr>
              <w:t xml:space="preserve">from ITS-SB </w:t>
            </w:r>
            <w:r w:rsidRPr="00E91481">
              <w:rPr>
                <w:rFonts w:ascii="Arial Narrow" w:hAnsi="Arial Narrow"/>
              </w:rPr>
              <w:t>and inserted into a</w:t>
            </w:r>
            <w:r>
              <w:rPr>
                <w:rFonts w:ascii="Arial Narrow" w:hAnsi="Arial Narrow"/>
              </w:rPr>
              <w:t xml:space="preserve"> Request for Proposal (</w:t>
            </w:r>
            <w:r w:rsidRPr="00E91481">
              <w:rPr>
                <w:rFonts w:ascii="Arial Narrow" w:hAnsi="Arial Narrow"/>
              </w:rPr>
              <w:t>RFP</w:t>
            </w:r>
            <w:r>
              <w:rPr>
                <w:rFonts w:ascii="Arial Narrow" w:hAnsi="Arial Narrow"/>
              </w:rPr>
              <w:t>)</w:t>
            </w:r>
            <w:r w:rsidRPr="00E91481">
              <w:rPr>
                <w:rFonts w:ascii="Arial Narrow" w:hAnsi="Arial Narrow"/>
              </w:rPr>
              <w:t xml:space="preserve">.  </w:t>
            </w:r>
          </w:p>
          <w:p w:rsidR="00E91481" w:rsidRDefault="00E91481" w:rsidP="00E91481">
            <w:pPr>
              <w:keepLines/>
              <w:numPr>
                <w:ilvl w:val="0"/>
                <w:numId w:val="15"/>
              </w:numPr>
              <w:rPr>
                <w:rFonts w:ascii="Arial Narrow" w:hAnsi="Arial Narrow"/>
              </w:rPr>
            </w:pPr>
            <w:r>
              <w:rPr>
                <w:rFonts w:ascii="Arial Narrow" w:hAnsi="Arial Narrow"/>
              </w:rPr>
              <w:t xml:space="preserve">Deployment: </w:t>
            </w:r>
            <w:r w:rsidR="005E092C">
              <w:rPr>
                <w:rFonts w:ascii="Arial Narrow" w:hAnsi="Arial Narrow"/>
              </w:rPr>
              <w:t xml:space="preserve">Results in improved ITS projects as the process of developing </w:t>
            </w:r>
            <w:r w:rsidRPr="00E91481">
              <w:rPr>
                <w:rFonts w:ascii="Arial Narrow" w:hAnsi="Arial Narrow"/>
              </w:rPr>
              <w:t>the regional architecture requires projects to be designed using the Systems Engineering process</w:t>
            </w:r>
          </w:p>
          <w:p w:rsidR="005E092C" w:rsidRDefault="001C4B9E" w:rsidP="001C4B9E">
            <w:pPr>
              <w:keepLines/>
              <w:numPr>
                <w:ilvl w:val="0"/>
                <w:numId w:val="15"/>
              </w:numPr>
              <w:rPr>
                <w:rFonts w:ascii="Arial Narrow" w:hAnsi="Arial Narrow"/>
              </w:rPr>
            </w:pPr>
            <w:r w:rsidRPr="001C4B9E">
              <w:rPr>
                <w:rFonts w:ascii="Arial Narrow" w:hAnsi="Arial Narrow"/>
              </w:rPr>
              <w:t>Management</w:t>
            </w:r>
            <w:r w:rsidR="005E092C" w:rsidRPr="001C4B9E">
              <w:rPr>
                <w:rFonts w:ascii="Arial Narrow" w:hAnsi="Arial Narrow"/>
              </w:rPr>
              <w:t xml:space="preserve">: </w:t>
            </w:r>
            <w:r w:rsidRPr="001C4B9E">
              <w:rPr>
                <w:rFonts w:ascii="Arial Narrow" w:hAnsi="Arial Narrow"/>
              </w:rPr>
              <w:t>R</w:t>
            </w:r>
            <w:r w:rsidRPr="001C4B9E">
              <w:rPr>
                <w:rFonts w:ascii="Arial Narrow" w:hAnsi="Arial Narrow"/>
              </w:rPr>
              <w:t>esult</w:t>
            </w:r>
            <w:r w:rsidRPr="001C4B9E">
              <w:rPr>
                <w:rFonts w:ascii="Arial Narrow" w:hAnsi="Arial Narrow"/>
              </w:rPr>
              <w:t>s</w:t>
            </w:r>
            <w:r w:rsidRPr="001C4B9E">
              <w:rPr>
                <w:rFonts w:ascii="Arial Narrow" w:hAnsi="Arial Narrow"/>
              </w:rPr>
              <w:t xml:space="preserve"> in more efficient system integration</w:t>
            </w:r>
            <w:r w:rsidRPr="001C4B9E">
              <w:rPr>
                <w:rFonts w:ascii="Arial Narrow" w:hAnsi="Arial Narrow"/>
              </w:rPr>
              <w:t xml:space="preserve"> and management as </w:t>
            </w:r>
            <w:r w:rsidR="00E91481" w:rsidRPr="001C4B9E">
              <w:rPr>
                <w:rFonts w:ascii="Arial Narrow" w:hAnsi="Arial Narrow"/>
              </w:rPr>
              <w:t xml:space="preserve">data exchange requirements </w:t>
            </w:r>
            <w:r w:rsidRPr="001C4B9E">
              <w:rPr>
                <w:rFonts w:ascii="Arial Narrow" w:hAnsi="Arial Narrow"/>
              </w:rPr>
              <w:t xml:space="preserve">that </w:t>
            </w:r>
            <w:r w:rsidR="00E91481" w:rsidRPr="001C4B9E">
              <w:rPr>
                <w:rFonts w:ascii="Arial Narrow" w:hAnsi="Arial Narrow"/>
              </w:rPr>
              <w:t xml:space="preserve">reflect </w:t>
            </w:r>
            <w:r w:rsidR="005E092C" w:rsidRPr="001C4B9E">
              <w:rPr>
                <w:rFonts w:ascii="Arial Narrow" w:hAnsi="Arial Narrow"/>
              </w:rPr>
              <w:t xml:space="preserve">stakeholder </w:t>
            </w:r>
            <w:r w:rsidR="00E91481" w:rsidRPr="001C4B9E">
              <w:rPr>
                <w:rFonts w:ascii="Arial Narrow" w:hAnsi="Arial Narrow"/>
              </w:rPr>
              <w:t>consensus</w:t>
            </w:r>
            <w:r w:rsidRPr="001C4B9E">
              <w:rPr>
                <w:rFonts w:ascii="Arial Narrow" w:hAnsi="Arial Narrow"/>
              </w:rPr>
              <w:t xml:space="preserve"> are included</w:t>
            </w:r>
            <w:r w:rsidR="00E91481" w:rsidRPr="001C4B9E">
              <w:rPr>
                <w:rFonts w:ascii="Arial Narrow" w:hAnsi="Arial Narrow"/>
              </w:rPr>
              <w:t>.</w:t>
            </w:r>
          </w:p>
        </w:tc>
      </w:tr>
      <w:tr w:rsidR="002A183C" w:rsidTr="00237101">
        <w:trPr>
          <w:cantSplit/>
          <w:trHeight w:val="1331"/>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2A183C" w:rsidRDefault="00247BAC" w:rsidP="00237101">
            <w:pPr>
              <w:rPr>
                <w:rFonts w:ascii="Arial Narrow" w:hAnsi="Arial Narrow"/>
              </w:rPr>
            </w:pPr>
            <w:r w:rsidRPr="00247BAC">
              <w:rPr>
                <w:rFonts w:ascii="Arial Narrow" w:hAnsi="Arial Narrow"/>
              </w:rPr>
              <w:t xml:space="preserve">ITS-SB has the </w:t>
            </w:r>
            <w:r>
              <w:rPr>
                <w:rFonts w:ascii="Arial Narrow" w:hAnsi="Arial Narrow"/>
              </w:rPr>
              <w:t xml:space="preserve">potential to </w:t>
            </w:r>
            <w:r w:rsidR="00237101">
              <w:rPr>
                <w:rFonts w:ascii="Arial Narrow" w:hAnsi="Arial Narrow"/>
              </w:rPr>
              <w:t>be implemented</w:t>
            </w:r>
            <w:r>
              <w:rPr>
                <w:rFonts w:ascii="Arial Narrow" w:hAnsi="Arial Narrow"/>
              </w:rPr>
              <w:t xml:space="preserve"> at regional, state, and national levels across the US </w:t>
            </w:r>
            <w:r w:rsidRPr="00247BAC">
              <w:rPr>
                <w:rFonts w:ascii="Arial Narrow" w:hAnsi="Arial Narrow"/>
              </w:rPr>
              <w:t>given that is u</w:t>
            </w:r>
            <w:r>
              <w:rPr>
                <w:rFonts w:ascii="Arial Narrow" w:hAnsi="Arial Narrow"/>
              </w:rPr>
              <w:t>ses</w:t>
            </w:r>
            <w:r w:rsidRPr="00247BAC">
              <w:rPr>
                <w:rFonts w:ascii="Arial Narrow" w:hAnsi="Arial Narrow"/>
              </w:rPr>
              <w:t xml:space="preserve"> the FHWA ITS Turbo Architecture as the platform.  </w:t>
            </w:r>
          </w:p>
        </w:tc>
      </w:tr>
      <w:tr w:rsidR="002A183C" w:rsidTr="000A6464">
        <w:trPr>
          <w:cantSplit/>
          <w:trHeight w:val="1439"/>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237101" w:rsidRDefault="00237101" w:rsidP="00237101">
            <w:pPr>
              <w:rPr>
                <w:rFonts w:ascii="Arial Narrow" w:hAnsi="Arial Narrow"/>
              </w:rPr>
            </w:pPr>
          </w:p>
          <w:p w:rsidR="002A183C" w:rsidRPr="002A183C" w:rsidRDefault="00237101" w:rsidP="000A6464">
            <w:pPr>
              <w:rPr>
                <w:rFonts w:ascii="Arial Narrow" w:hAnsi="Arial Narrow"/>
              </w:rPr>
            </w:pPr>
            <w:r w:rsidRPr="008F5C31">
              <w:rPr>
                <w:rFonts w:ascii="Arial Narrow" w:hAnsi="Arial Narrow"/>
                <w:highlight w:val="yellow"/>
              </w:rPr>
              <w:t xml:space="preserve">They could either obtain a copy of ITS-SB from Caltrans and stand the tool up locally or load their architecture into the version at Caltrans.  The </w:t>
            </w:r>
            <w:r w:rsidRPr="008F5C31">
              <w:rPr>
                <w:rFonts w:ascii="Arial Narrow" w:hAnsi="Arial Narrow"/>
                <w:highlight w:val="yellow"/>
              </w:rPr>
              <w:t xml:space="preserve">organization would </w:t>
            </w:r>
            <w:r w:rsidRPr="008F5C31">
              <w:rPr>
                <w:rFonts w:ascii="Arial Narrow" w:hAnsi="Arial Narrow"/>
                <w:highlight w:val="yellow"/>
              </w:rPr>
              <w:t xml:space="preserve">also </w:t>
            </w:r>
            <w:r w:rsidRPr="008F5C31">
              <w:rPr>
                <w:rFonts w:ascii="Arial Narrow" w:hAnsi="Arial Narrow"/>
                <w:highlight w:val="yellow"/>
              </w:rPr>
              <w:t xml:space="preserve">need to be able to modify ITS-SB to accept their architecture.  </w:t>
            </w:r>
            <w:r w:rsidR="000A6464" w:rsidRPr="008F5C31">
              <w:rPr>
                <w:rFonts w:ascii="Arial Narrow" w:hAnsi="Arial Narrow"/>
                <w:highlight w:val="yellow"/>
              </w:rPr>
              <w:t>No matter where ITS-SB is housed, t</w:t>
            </w:r>
            <w:r w:rsidRPr="008F5C31">
              <w:rPr>
                <w:rFonts w:ascii="Arial Narrow" w:hAnsi="Arial Narrow"/>
                <w:highlight w:val="yellow"/>
              </w:rPr>
              <w:t xml:space="preserve">he most likely </w:t>
            </w:r>
            <w:r w:rsidR="000A6464" w:rsidRPr="008F5C31">
              <w:rPr>
                <w:rFonts w:ascii="Arial Narrow" w:hAnsi="Arial Narrow"/>
                <w:highlight w:val="yellow"/>
              </w:rPr>
              <w:t>action</w:t>
            </w:r>
            <w:r w:rsidRPr="008F5C31">
              <w:rPr>
                <w:rFonts w:ascii="Arial Narrow" w:hAnsi="Arial Narrow"/>
                <w:highlight w:val="yellow"/>
              </w:rPr>
              <w:t xml:space="preserve"> would be for the organization to pursue a consultant contract to modify ITS-SB </w:t>
            </w:r>
            <w:r w:rsidRPr="008F5C31">
              <w:rPr>
                <w:rFonts w:ascii="Arial Narrow" w:hAnsi="Arial Narrow"/>
                <w:highlight w:val="yellow"/>
              </w:rPr>
              <w:t>to accept their architecture</w:t>
            </w:r>
            <w:r w:rsidRPr="008F5C31">
              <w:rPr>
                <w:rFonts w:ascii="Arial Narrow" w:hAnsi="Arial Narrow"/>
                <w:highlight w:val="yellow"/>
              </w:rPr>
              <w: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2A183C" w:rsidRPr="002A183C" w:rsidRDefault="002A183C" w:rsidP="002A183C">
            <w:pPr>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2A183C" w:rsidRPr="002A183C" w:rsidRDefault="008F5C31" w:rsidP="0052148D">
            <w:pPr>
              <w:rPr>
                <w:rFonts w:ascii="Arial Narrow" w:hAnsi="Arial Narrow"/>
              </w:rPr>
            </w:pPr>
            <w:r>
              <w:rPr>
                <w:rFonts w:ascii="Arial Narrow" w:hAnsi="Arial Narrow"/>
              </w:rPr>
              <w:t xml:space="preserve">Caltrans has created </w:t>
            </w:r>
            <w:r w:rsidR="0052148D">
              <w:rPr>
                <w:rFonts w:ascii="Arial Narrow" w:hAnsi="Arial Narrow"/>
              </w:rPr>
              <w:t xml:space="preserve">the technical, training and user documents necessary to provide </w:t>
            </w:r>
            <w:r w:rsidRPr="008F5C31">
              <w:rPr>
                <w:rFonts w:ascii="Arial Narrow" w:hAnsi="Arial Narrow"/>
              </w:rPr>
              <w:t>ITS-SB</w:t>
            </w:r>
            <w:r w:rsidR="0052148D">
              <w:rPr>
                <w:rFonts w:ascii="Arial Narrow" w:hAnsi="Arial Narrow"/>
              </w:rPr>
              <w:t xml:space="preserve"> across Calfiornia. </w:t>
            </w:r>
            <w:r w:rsidRPr="008F5C31">
              <w:rPr>
                <w:rFonts w:ascii="Arial Narrow" w:hAnsi="Arial Narrow"/>
              </w:rPr>
              <w:t xml:space="preserve"> ha</w:t>
            </w:r>
            <w:bookmarkStart w:id="17" w:name="_GoBack"/>
            <w:bookmarkEnd w:id="17"/>
            <w:r w:rsidRPr="008F5C31">
              <w:rPr>
                <w:rFonts w:ascii="Arial Narrow" w:hAnsi="Arial Narrow"/>
              </w:rPr>
              <w:t>s training material available and training via webinar is to be provided within 2016</w:t>
            </w:r>
          </w:p>
        </w:tc>
      </w:tr>
      <w:tr w:rsidR="002A183C" w:rsidTr="008F5C31">
        <w:trPr>
          <w:cantSplit/>
          <w:trHeight w:val="683"/>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2A183C" w:rsidRPr="002A183C" w:rsidRDefault="008F5C31" w:rsidP="002A183C">
            <w:pPr>
              <w:ind w:left="360" w:hanging="360"/>
              <w:rPr>
                <w:rFonts w:ascii="Arial Narrow" w:hAnsi="Arial Narrow"/>
              </w:rPr>
            </w:pPr>
            <w:r w:rsidRPr="008F5C31">
              <w:rPr>
                <w:rFonts w:ascii="Arial Narrow" w:hAnsi="Arial Narrow"/>
              </w:rPr>
              <w:t>Caltrans statewide and the majority of Metropolitan Planning Organizations statewide</w:t>
            </w:r>
          </w:p>
        </w:tc>
      </w:tr>
      <w:tr w:rsidR="002A183C" w:rsidTr="008F5C31">
        <w:trPr>
          <w:cantSplit/>
          <w:trHeight w:val="8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2A183C" w:rsidRPr="002A183C" w:rsidRDefault="008F5C31" w:rsidP="002A183C">
            <w:pPr>
              <w:rPr>
                <w:rFonts w:ascii="Arial Narrow" w:hAnsi="Arial Narrow"/>
              </w:rPr>
            </w:pPr>
            <w:r>
              <w:rPr>
                <w:rFonts w:ascii="Arial Narrow" w:hAnsi="Arial Narrow"/>
              </w:rPr>
              <w:t>None that we are aware of.</w:t>
            </w: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097340" w:rsidP="005E5C21">
            <w:pPr>
              <w:ind w:left="360"/>
              <w:jc w:val="center"/>
              <w:rPr>
                <w:rFonts w:ascii="Arial Narrow" w:hAnsi="Arial Narrow"/>
              </w:rPr>
            </w:pPr>
            <w:hyperlink r:id="rId12">
              <w:r w:rsidR="005E5C21">
                <w:rPr>
                  <w:rFonts w:ascii="Arial"/>
                  <w:b/>
                  <w:i/>
                  <w:color w:val="0000FF"/>
                  <w:spacing w:val="-1"/>
                  <w:u w:val="thick" w:color="0000FF"/>
                </w:rPr>
                <w:t>http://web.transportation.org/tig_solicitation/Submit.aspx</w:t>
              </w:r>
            </w:hyperlink>
          </w:p>
        </w:tc>
      </w:tr>
    </w:tbl>
    <w:p w:rsidR="00D15233" w:rsidRDefault="00D15233">
      <w:pPr>
        <w:rPr>
          <w:rFonts w:ascii="Arial Narrow" w:hAnsi="Arial Narrow"/>
        </w:rPr>
      </w:pPr>
    </w:p>
    <w:p w:rsidR="004A2100" w:rsidRDefault="004A2100" w:rsidP="004A2100">
      <w:hyperlink r:id="rId13" w:history="1">
        <w:r w:rsidRPr="005446F4">
          <w:rPr>
            <w:rStyle w:val="Hyperlink"/>
          </w:rPr>
          <w:t>http://149.136.20.175/NetApps/Systembuilder/Default.aspx</w:t>
        </w:r>
      </w:hyperlink>
    </w:p>
    <w:p w:rsidR="004A2100" w:rsidRDefault="004A2100" w:rsidP="004A2100"/>
    <w:p w:rsidR="004A2100" w:rsidRPr="004A2100" w:rsidRDefault="004A2100" w:rsidP="004A2100">
      <w:pPr>
        <w:rPr>
          <w:rFonts w:ascii="Calibri" w:hAnsi="Calibri"/>
          <w:color w:val="1F497D"/>
        </w:rPr>
      </w:pPr>
      <w:r w:rsidRPr="006B5C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10.4pt;height:229.8pt;visibility:visible;mso-wrap-style:square">
            <v:imagedata r:id="rId14" o:title=""/>
          </v:shape>
        </w:pict>
      </w:r>
    </w:p>
    <w:p w:rsidR="004A2100" w:rsidRPr="004A2100" w:rsidRDefault="004A2100" w:rsidP="004A2100">
      <w:pPr>
        <w:rPr>
          <w:rFonts w:ascii="Calibri" w:hAnsi="Calibri"/>
          <w:color w:val="1F497D"/>
        </w:rPr>
      </w:pPr>
    </w:p>
    <w:p w:rsidR="004A2100" w:rsidRDefault="004A2100" w:rsidP="004A2100">
      <w:pPr>
        <w:rPr>
          <w:rStyle w:val="Hyperlink"/>
          <w:noProof/>
        </w:rPr>
      </w:pPr>
      <w:hyperlink r:id="rId15" w:history="1">
        <w:r w:rsidRPr="005446F4">
          <w:rPr>
            <w:rStyle w:val="Hyperlink"/>
            <w:noProof/>
          </w:rPr>
          <w:t>http://149.136.20.175/NetApps/Systembuilder/SearchText.aspx</w:t>
        </w:r>
      </w:hyperlink>
    </w:p>
    <w:p w:rsidR="004A2100" w:rsidRDefault="004A2100" w:rsidP="004A2100">
      <w:pPr>
        <w:rPr>
          <w:noProof/>
        </w:rPr>
      </w:pPr>
    </w:p>
    <w:p w:rsidR="00D15233" w:rsidRDefault="004A2100" w:rsidP="004A2100">
      <w:r w:rsidRPr="006B5CFA">
        <w:rPr>
          <w:noProof/>
        </w:rPr>
        <w:pict>
          <v:shape id="Picture 2" o:spid="_x0000_i1025" type="#_x0000_t75" style="width:410.4pt;height:229.2pt;visibility:visible;mso-wrap-style:square">
            <v:imagedata r:id="rId16" o:title=""/>
          </v:shape>
        </w:pict>
      </w:r>
    </w:p>
    <w:sectPr w:rsidR="00D15233" w:rsidSect="002A183C">
      <w:headerReference w:type="default" r:id="rId17"/>
      <w:footerReference w:type="default" r:id="rId1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40" w:rsidRDefault="00097340">
      <w:r>
        <w:separator/>
      </w:r>
    </w:p>
  </w:endnote>
  <w:endnote w:type="continuationSeparator" w:id="0">
    <w:p w:rsidR="00097340" w:rsidRDefault="0009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52148D">
      <w:rPr>
        <w:rStyle w:val="PageNumber"/>
        <w:rFonts w:ascii="Arial Narrow" w:hAnsi="Arial Narrow"/>
        <w:noProof/>
      </w:rPr>
      <w:t>3</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40" w:rsidRDefault="00097340">
      <w:r>
        <w:separator/>
      </w:r>
    </w:p>
  </w:footnote>
  <w:footnote w:type="continuationSeparator" w:id="0">
    <w:p w:rsidR="00097340" w:rsidRDefault="0009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3D0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E31D05"/>
    <w:multiLevelType w:val="hybridMultilevel"/>
    <w:tmpl w:val="EE00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75574"/>
    <w:multiLevelType w:val="hybridMultilevel"/>
    <w:tmpl w:val="393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E4E70"/>
    <w:multiLevelType w:val="hybridMultilevel"/>
    <w:tmpl w:val="5E2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F390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6AA3C73"/>
    <w:multiLevelType w:val="hybridMultilevel"/>
    <w:tmpl w:val="72384F2C"/>
    <w:lvl w:ilvl="0" w:tplc="231E7A04">
      <w:start w:val="7"/>
      <w:numFmt w:val="decimal"/>
      <w:lvlText w:val="%1."/>
      <w:lvlJc w:val="left"/>
      <w:pPr>
        <w:tabs>
          <w:tab w:val="num" w:pos="360"/>
        </w:tabs>
        <w:ind w:left="360" w:hanging="360"/>
      </w:pPr>
      <w:rPr>
        <w:rFonts w:hint="default"/>
      </w:rPr>
    </w:lvl>
    <w:lvl w:ilvl="1" w:tplc="C70A4EE8">
      <w:numFmt w:val="bullet"/>
      <w:lvlText w:val="•"/>
      <w:lvlJc w:val="left"/>
      <w:pPr>
        <w:ind w:left="1800" w:hanging="72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F604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45F69CB"/>
    <w:multiLevelType w:val="hybridMultilevel"/>
    <w:tmpl w:val="D748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90EC1"/>
    <w:multiLevelType w:val="hybridMultilevel"/>
    <w:tmpl w:val="5586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4514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DD376ED"/>
    <w:multiLevelType w:val="hybridMultilevel"/>
    <w:tmpl w:val="79FA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B45B1"/>
    <w:multiLevelType w:val="hybridMultilevel"/>
    <w:tmpl w:val="9648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31FC1"/>
    <w:multiLevelType w:val="hybridMultilevel"/>
    <w:tmpl w:val="AB6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7"/>
  </w:num>
  <w:num w:numId="4">
    <w:abstractNumId w:val="10"/>
  </w:num>
  <w:num w:numId="5">
    <w:abstractNumId w:val="13"/>
  </w:num>
  <w:num w:numId="6">
    <w:abstractNumId w:val="6"/>
  </w:num>
  <w:num w:numId="7">
    <w:abstractNumId w:val="0"/>
  </w:num>
  <w:num w:numId="8">
    <w:abstractNumId w:val="9"/>
  </w:num>
  <w:num w:numId="9">
    <w:abstractNumId w:val="2"/>
  </w:num>
  <w:num w:numId="10">
    <w:abstractNumId w:val="12"/>
  </w:num>
  <w:num w:numId="11">
    <w:abstractNumId w:val="8"/>
  </w:num>
  <w:num w:numId="12">
    <w:abstractNumId w:val="14"/>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233"/>
    <w:rsid w:val="00097340"/>
    <w:rsid w:val="000A6464"/>
    <w:rsid w:val="001C4B9E"/>
    <w:rsid w:val="00237101"/>
    <w:rsid w:val="00247BAC"/>
    <w:rsid w:val="00271DE9"/>
    <w:rsid w:val="002A183C"/>
    <w:rsid w:val="003362D0"/>
    <w:rsid w:val="00406E8D"/>
    <w:rsid w:val="004A2100"/>
    <w:rsid w:val="0052148D"/>
    <w:rsid w:val="005E092C"/>
    <w:rsid w:val="005E5C21"/>
    <w:rsid w:val="008F5C31"/>
    <w:rsid w:val="00A02BF7"/>
    <w:rsid w:val="00AB2189"/>
    <w:rsid w:val="00BF20B2"/>
    <w:rsid w:val="00D15233"/>
    <w:rsid w:val="00DA21F6"/>
    <w:rsid w:val="00E91481"/>
    <w:rsid w:val="00F74CD0"/>
    <w:rsid w:val="00FD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567A04-721A-4DF9-9EBB-93285992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F74CD0"/>
    <w:pPr>
      <w:ind w:left="720"/>
    </w:pPr>
    <w:rPr>
      <w:rFonts w:ascii="Calibri" w:eastAsia="Calibri" w:hAnsi="Calibri"/>
      <w:sz w:val="22"/>
      <w:szCs w:val="22"/>
    </w:rPr>
  </w:style>
  <w:style w:type="character" w:styleId="Hyperlink">
    <w:name w:val="Hyperlink"/>
    <w:uiPriority w:val="99"/>
    <w:unhideWhenUsed/>
    <w:rsid w:val="004A21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149.136.20.175/NetApps/Systembuilder/Default.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ansportation1.org/tig_solicitation/Submi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149.136.20.175/NetApps/Systembuilder/SearchText.aspx" TargetMode="External"/><Relationship Id="rId5" Type="http://schemas.openxmlformats.org/officeDocument/2006/relationships/styles" Target="styles.xml"/><Relationship Id="rId15" Type="http://schemas.openxmlformats.org/officeDocument/2006/relationships/hyperlink" Target="http://149.136.20.175/NetApps/Systembuilder/SearchText.aspx" TargetMode="External"/><Relationship Id="rId10" Type="http://schemas.openxmlformats.org/officeDocument/2006/relationships/hyperlink" Target="http://149.136.20.175/NetApps/Systembuilder/Default.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Compin, Nicholas S@DOT</cp:lastModifiedBy>
  <cp:revision>7</cp:revision>
  <cp:lastPrinted>2003-10-26T18:17:00Z</cp:lastPrinted>
  <dcterms:created xsi:type="dcterms:W3CDTF">2013-10-29T18:54:00Z</dcterms:created>
  <dcterms:modified xsi:type="dcterms:W3CDTF">2016-09-30T18:30:00Z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