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B70FB6">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F5198F">
              <w:rPr>
                <w:rFonts w:ascii="Arial Narrow" w:hAnsi="Arial Narrow"/>
              </w:rPr>
              <w:fldChar w:fldCharType="begin">
                <w:ffData>
                  <w:name w:val="Text40"/>
                  <w:enabled/>
                  <w:calcOnExit w:val="0"/>
                  <w:statusText w:type="text" w:val="All Nominations of Technology Ready for Implementation must be sponsored by a State Transportation Agency"/>
                  <w:textInput/>
                </w:ffData>
              </w:fldChar>
            </w:r>
            <w:bookmarkStart w:id="0" w:name="Text40"/>
            <w:r>
              <w:rPr>
                <w:rFonts w:ascii="Arial Narrow" w:hAnsi="Arial Narrow"/>
              </w:rPr>
              <w:instrText xml:space="preserve"> FORMTEXT </w:instrText>
            </w:r>
            <w:r w:rsidR="00F5198F">
              <w:rPr>
                <w:rFonts w:ascii="Arial Narrow" w:hAnsi="Arial Narrow"/>
              </w:rPr>
            </w:r>
            <w:r w:rsidR="00F5198F">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sidR="00B70FB6">
              <w:t xml:space="preserve"> P</w:t>
            </w:r>
            <w:r w:rsidR="00B70FB6" w:rsidRPr="00B70FB6">
              <w:rPr>
                <w:rFonts w:ascii="Arial Narrow" w:hAnsi="Arial Narrow"/>
                <w:noProof/>
              </w:rPr>
              <w:t xml:space="preserve">ooled fund study TPF-5(242), Traffic and Data Preparation for AASHTO MEPDG Analysis and Design </w:t>
            </w:r>
            <w:r>
              <w:rPr>
                <w:rFonts w:ascii="Arial Narrow" w:hAnsi="Arial Narrow"/>
                <w:noProof/>
              </w:rPr>
              <w:t> </w:t>
            </w:r>
            <w:r>
              <w:rPr>
                <w:rFonts w:ascii="Arial Narrow" w:hAnsi="Arial Narrow"/>
                <w:noProof/>
              </w:rPr>
              <w:t> </w:t>
            </w:r>
            <w:r w:rsidR="00F5198F">
              <w:rPr>
                <w:rFonts w:ascii="Arial Narrow" w:hAnsi="Arial Narrow"/>
              </w:rPr>
              <w:fldChar w:fldCharType="end"/>
            </w:r>
            <w:bookmarkEnd w:id="0"/>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631E1F">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631E1F">
              <w:rPr>
                <w:rFonts w:ascii="Arial Narrow" w:hAnsi="Arial Narrow"/>
              </w:rPr>
              <w:t>Harold Paul</w:t>
            </w:r>
            <w:r w:rsidR="00B70FB6">
              <w:rPr>
                <w:rFonts w:ascii="Arial Narrow" w:hAnsi="Arial Narrow"/>
              </w:rPr>
              <w:t xml:space="preserve">, Sponsor contact, </w:t>
            </w:r>
            <w:r w:rsidR="00631E1F">
              <w:rPr>
                <w:rFonts w:ascii="Arial Narrow" w:hAnsi="Arial Narrow"/>
              </w:rPr>
              <w:t>Director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B70FB6">
            <w:pPr>
              <w:ind w:left="360"/>
              <w:rPr>
                <w:rFonts w:ascii="Arial Narrow" w:hAnsi="Arial Narrow"/>
              </w:rPr>
            </w:pPr>
            <w:r>
              <w:rPr>
                <w:rFonts w:ascii="Arial Narrow" w:hAnsi="Arial Narrow"/>
              </w:rPr>
              <w:t xml:space="preserve">Organization: </w:t>
            </w:r>
            <w:r w:rsidR="00B70FB6">
              <w:rPr>
                <w:rFonts w:ascii="Arial Narrow" w:hAnsi="Arial Narrow"/>
              </w:rPr>
              <w:t>LTRC/LADOTD</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B70FB6">
            <w:pPr>
              <w:ind w:left="360"/>
              <w:rPr>
                <w:rFonts w:ascii="Arial Narrow" w:hAnsi="Arial Narrow"/>
              </w:rPr>
            </w:pPr>
            <w:r>
              <w:rPr>
                <w:rFonts w:ascii="Arial Narrow" w:hAnsi="Arial Narrow"/>
              </w:rPr>
              <w:t xml:space="preserve">Street Address: </w:t>
            </w:r>
            <w:r w:rsidR="00B70FB6">
              <w:rPr>
                <w:rFonts w:ascii="Arial Narrow" w:hAnsi="Arial Narrow"/>
              </w:rPr>
              <w:t>4101 Gourrier Ave.</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B70FB6">
            <w:pPr>
              <w:ind w:left="360"/>
              <w:rPr>
                <w:rFonts w:ascii="Arial Narrow" w:hAnsi="Arial Narrow"/>
              </w:rPr>
            </w:pPr>
            <w:r>
              <w:rPr>
                <w:rFonts w:ascii="Arial Narrow" w:hAnsi="Arial Narrow"/>
              </w:rPr>
              <w:t xml:space="preserve">City: </w:t>
            </w:r>
            <w:r w:rsidR="00B70FB6">
              <w:rPr>
                <w:rFonts w:ascii="Arial Narrow" w:hAnsi="Arial Narrow"/>
              </w:rPr>
              <w:t>Baton Rouge</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B70FB6">
            <w:pPr>
              <w:rPr>
                <w:rFonts w:ascii="Arial Narrow" w:hAnsi="Arial Narrow"/>
              </w:rPr>
            </w:pPr>
            <w:r>
              <w:rPr>
                <w:rFonts w:ascii="Arial Narrow" w:hAnsi="Arial Narrow"/>
              </w:rPr>
              <w:t xml:space="preserve">State: </w:t>
            </w:r>
            <w:r w:rsidR="00B70FB6">
              <w:rPr>
                <w:rFonts w:ascii="Arial Narrow" w:hAnsi="Arial Narrow"/>
              </w:rPr>
              <w:t>LA</w:t>
            </w:r>
          </w:p>
        </w:tc>
        <w:tc>
          <w:tcPr>
            <w:tcW w:w="2160" w:type="dxa"/>
            <w:tcBorders>
              <w:top w:val="single" w:sz="4" w:space="0" w:color="C0C0C0"/>
              <w:left w:val="single" w:sz="4" w:space="0" w:color="C0C0C0"/>
              <w:bottom w:val="single" w:sz="4" w:space="0" w:color="C0C0C0"/>
            </w:tcBorders>
          </w:tcPr>
          <w:p w:rsidR="002A183C" w:rsidRDefault="002A183C" w:rsidP="00B70FB6">
            <w:pPr>
              <w:rPr>
                <w:rFonts w:ascii="Arial Narrow" w:hAnsi="Arial Narrow"/>
              </w:rPr>
            </w:pPr>
            <w:r>
              <w:rPr>
                <w:rFonts w:ascii="Arial Narrow" w:hAnsi="Arial Narrow"/>
              </w:rPr>
              <w:t xml:space="preserve">Zipcode: </w:t>
            </w:r>
            <w:r w:rsidR="00B70FB6">
              <w:rPr>
                <w:rFonts w:ascii="Arial Narrow" w:hAnsi="Arial Narrow"/>
              </w:rPr>
              <w:t>70808</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B70FB6">
            <w:pPr>
              <w:ind w:left="360"/>
              <w:rPr>
                <w:rFonts w:ascii="Arial Narrow" w:hAnsi="Arial Narrow"/>
              </w:rPr>
            </w:pPr>
            <w:r>
              <w:rPr>
                <w:rFonts w:ascii="Arial Narrow" w:hAnsi="Arial Narrow"/>
              </w:rPr>
              <w:t xml:space="preserve">E-mail: </w:t>
            </w:r>
            <w:r w:rsidR="00B70FB6">
              <w:rPr>
                <w:rFonts w:ascii="Arial Narrow" w:hAnsi="Arial Narrow"/>
              </w:rPr>
              <w:t>doc.zhang@la.gov</w:t>
            </w:r>
          </w:p>
        </w:tc>
        <w:tc>
          <w:tcPr>
            <w:tcW w:w="2250" w:type="dxa"/>
            <w:gridSpan w:val="3"/>
            <w:tcBorders>
              <w:top w:val="single" w:sz="4" w:space="0" w:color="C0C0C0"/>
              <w:left w:val="single" w:sz="4" w:space="0" w:color="C0C0C0"/>
              <w:right w:val="single" w:sz="4" w:space="0" w:color="C0C0C0"/>
            </w:tcBorders>
          </w:tcPr>
          <w:p w:rsidR="002A183C" w:rsidRDefault="002A183C" w:rsidP="00B70FB6">
            <w:pPr>
              <w:rPr>
                <w:rFonts w:ascii="Arial Narrow" w:hAnsi="Arial Narrow"/>
              </w:rPr>
            </w:pPr>
            <w:r>
              <w:rPr>
                <w:rFonts w:ascii="Arial Narrow" w:hAnsi="Arial Narrow"/>
              </w:rPr>
              <w:t xml:space="preserve">Phone: </w:t>
            </w:r>
            <w:r w:rsidR="00B70FB6">
              <w:rPr>
                <w:rFonts w:ascii="Arial Narrow" w:hAnsi="Arial Narrow"/>
              </w:rPr>
              <w:t>225-767-9162</w:t>
            </w:r>
          </w:p>
        </w:tc>
        <w:tc>
          <w:tcPr>
            <w:tcW w:w="2160" w:type="dxa"/>
            <w:tcBorders>
              <w:top w:val="single" w:sz="4" w:space="0" w:color="C0C0C0"/>
              <w:left w:val="single" w:sz="4" w:space="0" w:color="C0C0C0"/>
            </w:tcBorders>
          </w:tcPr>
          <w:p w:rsidR="002A183C" w:rsidRDefault="002A183C" w:rsidP="00B70FB6">
            <w:pPr>
              <w:rPr>
                <w:rFonts w:ascii="Arial Narrow" w:hAnsi="Arial Narrow"/>
              </w:rPr>
            </w:pPr>
            <w:r>
              <w:rPr>
                <w:rFonts w:ascii="Arial Narrow" w:hAnsi="Arial Narrow"/>
              </w:rPr>
              <w:t xml:space="preserve">Fax: </w:t>
            </w:r>
            <w:r w:rsidR="00B70FB6">
              <w:rPr>
                <w:rFonts w:ascii="Arial Narrow" w:hAnsi="Arial Narrow"/>
              </w:rPr>
              <w:t>225-767-9108</w:t>
            </w:r>
          </w:p>
        </w:tc>
      </w:tr>
      <w:tr w:rsidR="00125553" w:rsidTr="002A183C">
        <w:trPr>
          <w:cantSplit/>
          <w:trHeight w:val="260"/>
        </w:trPr>
        <w:tc>
          <w:tcPr>
            <w:tcW w:w="1278" w:type="dxa"/>
            <w:vMerge/>
          </w:tcPr>
          <w:p w:rsidR="00125553" w:rsidRDefault="00125553">
            <w:pPr>
              <w:jc w:val="center"/>
              <w:rPr>
                <w:rFonts w:ascii="Arial Narrow" w:hAnsi="Arial Narrow"/>
                <w:b/>
              </w:rPr>
            </w:pPr>
          </w:p>
        </w:tc>
        <w:tc>
          <w:tcPr>
            <w:tcW w:w="1638" w:type="dxa"/>
            <w:vMerge/>
            <w:vAlign w:val="center"/>
          </w:tcPr>
          <w:p w:rsidR="00125553" w:rsidRDefault="00125553">
            <w:pPr>
              <w:jc w:val="center"/>
              <w:rPr>
                <w:rFonts w:ascii="Arial Narrow" w:hAnsi="Arial Narrow"/>
                <w:b/>
              </w:rPr>
            </w:pPr>
          </w:p>
        </w:tc>
        <w:tc>
          <w:tcPr>
            <w:tcW w:w="8100" w:type="dxa"/>
            <w:gridSpan w:val="6"/>
            <w:tcBorders>
              <w:top w:val="single" w:sz="4" w:space="0" w:color="C0C0C0"/>
            </w:tcBorders>
          </w:tcPr>
          <w:p w:rsidR="00125553" w:rsidRPr="00125553" w:rsidRDefault="00125553" w:rsidP="00125553">
            <w:pPr>
              <w:pStyle w:val="ListParagraph"/>
              <w:numPr>
                <w:ilvl w:val="0"/>
                <w:numId w:val="4"/>
              </w:numPr>
              <w:rPr>
                <w:rFonts w:ascii="Arial Narrow" w:hAnsi="Arial Narrow"/>
              </w:rPr>
            </w:pPr>
            <w:r>
              <w:rPr>
                <w:rFonts w:ascii="Arial Narrow" w:hAnsi="Arial Narrow"/>
              </w:rPr>
              <w:t>Date Submitted: 27 Dec 2013</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125553" w:rsidP="00125553">
            <w:pPr>
              <w:rPr>
                <w:rFonts w:ascii="Arial Narrow" w:hAnsi="Arial Narrow"/>
              </w:rPr>
            </w:pPr>
            <w:r>
              <w:rPr>
                <w:rFonts w:ascii="Arial Narrow" w:hAnsi="Arial Narrow"/>
              </w:rPr>
              <w:t>4</w:t>
            </w:r>
            <w:r w:rsidR="002A183C">
              <w:rPr>
                <w:rFonts w:ascii="Arial Narrow" w:hAnsi="Arial Narrow"/>
              </w:rPr>
              <w:t xml:space="preserve">.     Is the sponsoring State DOT willing to promote this technology to other states by participating </w:t>
            </w:r>
            <w:r w:rsidR="002A183C" w:rsidRPr="002A183C">
              <w:rPr>
                <w:rFonts w:ascii="Arial Narrow" w:hAnsi="Arial Narrow"/>
              </w:rPr>
              <w:t>on a Lead States Team supported by the AASHTO Technology Implementation Group?</w:t>
            </w:r>
            <w:r w:rsidR="002A183C">
              <w:rPr>
                <w:rFonts w:ascii="Arial Narrow" w:hAnsi="Arial Narrow"/>
              </w:rPr>
              <w:t xml:space="preserve"> Yes or No: </w:t>
            </w:r>
            <w:r w:rsidR="00B70FB6">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125553" w:rsidP="002A183C">
            <w:pPr>
              <w:rPr>
                <w:rFonts w:ascii="Arial Narrow" w:hAnsi="Arial Narrow"/>
              </w:rPr>
            </w:pPr>
            <w:r>
              <w:rPr>
                <w:rFonts w:ascii="Arial Narrow" w:hAnsi="Arial Narrow"/>
              </w:rPr>
              <w:t>5</w:t>
            </w:r>
            <w:r w:rsidR="002A183C">
              <w:rPr>
                <w:rFonts w:ascii="Arial Narrow" w:hAnsi="Arial Narrow"/>
              </w:rPr>
              <w:t>.      Name of Technology:</w:t>
            </w:r>
          </w:p>
          <w:p w:rsidR="002A183C" w:rsidRDefault="00B70FB6" w:rsidP="00036E7D">
            <w:pPr>
              <w:rPr>
                <w:rFonts w:ascii="Arial Narrow" w:hAnsi="Arial Narrow"/>
              </w:rPr>
            </w:pPr>
            <w:r w:rsidRPr="00B70FB6">
              <w:rPr>
                <w:rFonts w:ascii="Arial Narrow" w:hAnsi="Arial Narrow"/>
              </w:rPr>
              <w:t xml:space="preserve">Prep-ME </w:t>
            </w:r>
            <w:r w:rsidR="00036E7D">
              <w:rPr>
                <w:rFonts w:ascii="Arial Narrow" w:hAnsi="Arial Narrow"/>
              </w:rPr>
              <w:t>S</w:t>
            </w:r>
            <w:r w:rsidR="00036E7D" w:rsidRPr="00B70FB6">
              <w:rPr>
                <w:rFonts w:ascii="Arial Narrow" w:hAnsi="Arial Narrow"/>
              </w:rPr>
              <w:t>oftware</w:t>
            </w:r>
            <w:r w:rsidR="00036E7D">
              <w:rPr>
                <w:rFonts w:ascii="Arial Narrow" w:hAnsi="Arial Narrow"/>
              </w:rPr>
              <w:t xml:space="preserve"> for the Implementation of Pavement ME Design</w:t>
            </w:r>
          </w:p>
        </w:tc>
      </w:tr>
      <w:tr w:rsidR="002A183C" w:rsidTr="00DC30FA">
        <w:trPr>
          <w:cantSplit/>
          <w:trHeight w:val="561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125553" w:rsidP="00125553">
            <w:pPr>
              <w:rPr>
                <w:rFonts w:ascii="Arial Narrow" w:hAnsi="Arial Narrow"/>
              </w:rPr>
            </w:pPr>
            <w:r>
              <w:rPr>
                <w:rFonts w:ascii="Arial Narrow" w:hAnsi="Arial Narrow"/>
              </w:rPr>
              <w:t xml:space="preserve">6.      </w:t>
            </w:r>
            <w:r w:rsidR="002A183C">
              <w:rPr>
                <w:rFonts w:ascii="Arial Narrow" w:hAnsi="Arial Narrow"/>
              </w:rPr>
              <w:t>Please describe the technology.</w:t>
            </w:r>
          </w:p>
          <w:p w:rsidR="002A183C" w:rsidRPr="00B70FB6" w:rsidRDefault="0030568A" w:rsidP="00B70FB6">
            <w:pPr>
              <w:rPr>
                <w:rFonts w:ascii="Arial Narrow" w:hAnsi="Arial Narrow"/>
              </w:rPr>
            </w:pPr>
            <w:r w:rsidRPr="0030568A">
              <w:rPr>
                <w:rFonts w:ascii="Arial Narrow" w:hAnsi="Arial Narrow"/>
              </w:rPr>
              <w:t xml:space="preserve">Prep-ME </w:t>
            </w:r>
            <w:r w:rsidR="00036E7D">
              <w:rPr>
                <w:rFonts w:ascii="Arial Narrow" w:hAnsi="Arial Narrow"/>
              </w:rPr>
              <w:t xml:space="preserve">is </w:t>
            </w:r>
            <w:r w:rsidR="00036E7D" w:rsidRPr="0030568A">
              <w:rPr>
                <w:rFonts w:ascii="Arial Narrow" w:hAnsi="Arial Narrow"/>
              </w:rPr>
              <w:t xml:space="preserve">a full production </w:t>
            </w:r>
            <w:r w:rsidRPr="0030568A">
              <w:rPr>
                <w:rFonts w:ascii="Arial Narrow" w:hAnsi="Arial Narrow"/>
              </w:rPr>
              <w:t>software</w:t>
            </w:r>
            <w:r w:rsidR="006E67C9">
              <w:rPr>
                <w:rFonts w:ascii="Arial Narrow" w:hAnsi="Arial Narrow"/>
              </w:rPr>
              <w:t xml:space="preserve"> program</w:t>
            </w:r>
            <w:r w:rsidRPr="0030568A">
              <w:rPr>
                <w:rFonts w:ascii="Arial Narrow" w:hAnsi="Arial Narrow"/>
              </w:rPr>
              <w:t xml:space="preserve"> to store and process climate, traffic, and materials data required for the AASHTO Pavement ME Design.    This software complies with FHWA Traffic Monitoring Guide (TMG) and TMAS for quality </w:t>
            </w:r>
            <w:r w:rsidR="00036E7D">
              <w:rPr>
                <w:rFonts w:ascii="Arial Narrow" w:hAnsi="Arial Narrow"/>
              </w:rPr>
              <w:t>assurance</w:t>
            </w:r>
            <w:r w:rsidR="00036E7D" w:rsidRPr="0030568A">
              <w:rPr>
                <w:rFonts w:ascii="Arial Narrow" w:hAnsi="Arial Narrow"/>
              </w:rPr>
              <w:t xml:space="preserve"> </w:t>
            </w:r>
            <w:r w:rsidRPr="0030568A">
              <w:rPr>
                <w:rFonts w:ascii="Arial Narrow" w:hAnsi="Arial Narrow"/>
              </w:rPr>
              <w:t xml:space="preserve">and quality </w:t>
            </w:r>
            <w:r w:rsidR="00036E7D" w:rsidRPr="0030568A">
              <w:rPr>
                <w:rFonts w:ascii="Arial Narrow" w:hAnsi="Arial Narrow"/>
              </w:rPr>
              <w:t>c</w:t>
            </w:r>
            <w:r w:rsidR="00036E7D">
              <w:rPr>
                <w:rFonts w:ascii="Arial Narrow" w:hAnsi="Arial Narrow"/>
              </w:rPr>
              <w:t>ontrol</w:t>
            </w:r>
            <w:r w:rsidR="00036E7D" w:rsidRPr="0030568A">
              <w:rPr>
                <w:rFonts w:ascii="Arial Narrow" w:hAnsi="Arial Narrow"/>
              </w:rPr>
              <w:t xml:space="preserve"> </w:t>
            </w:r>
            <w:r w:rsidRPr="0030568A">
              <w:rPr>
                <w:rFonts w:ascii="Arial Narrow" w:hAnsi="Arial Narrow"/>
              </w:rPr>
              <w:t xml:space="preserve">(QA/QC).  State highway agencies’ experience has been built into the QA/QC of traffic data collection. The software has the following basic functions with more specific features requested by individual states.  </w:t>
            </w:r>
            <w:r w:rsidR="00B70FB6" w:rsidRPr="00B70FB6">
              <w:rPr>
                <w:rFonts w:ascii="Arial Narrow" w:hAnsi="Arial Narrow"/>
              </w:rPr>
              <w:t xml:space="preserve">  </w:t>
            </w:r>
          </w:p>
          <w:p w:rsidR="00B70FB6" w:rsidRPr="00B70FB6" w:rsidRDefault="00B70FB6" w:rsidP="00B70FB6">
            <w:pPr>
              <w:ind w:left="360"/>
              <w:rPr>
                <w:rFonts w:ascii="Arial Narrow" w:hAnsi="Arial Narrow"/>
              </w:rPr>
            </w:pPr>
            <w:r w:rsidRPr="00B70FB6">
              <w:rPr>
                <w:rFonts w:ascii="Arial Narrow" w:hAnsi="Arial Narrow"/>
              </w:rPr>
              <w:t>(1) Imports an agency’s WIM traffic data complying with FHWA Traffic Monitoring Guide (TMG) file formats, and store the data in SQL server Local database with exceptional computation efficiency.</w:t>
            </w:r>
          </w:p>
          <w:p w:rsidR="00B70FB6" w:rsidRPr="00B70FB6" w:rsidRDefault="00B70FB6" w:rsidP="00B70FB6">
            <w:pPr>
              <w:ind w:left="360"/>
              <w:rPr>
                <w:rFonts w:ascii="Arial Narrow" w:hAnsi="Arial Narrow"/>
              </w:rPr>
            </w:pPr>
            <w:r w:rsidRPr="00B70FB6">
              <w:rPr>
                <w:rFonts w:ascii="Arial Narrow" w:hAnsi="Arial Narrow"/>
              </w:rPr>
              <w:t>(2) Conduct TMAS 2.0 data check and generate TMAS check error log for each imported raw file.</w:t>
            </w:r>
          </w:p>
          <w:p w:rsidR="00B70FB6" w:rsidRPr="00B70FB6" w:rsidRDefault="00B70FB6" w:rsidP="00B70FB6">
            <w:pPr>
              <w:ind w:left="360"/>
              <w:rPr>
                <w:rFonts w:ascii="Arial Narrow" w:hAnsi="Arial Narrow"/>
              </w:rPr>
            </w:pPr>
            <w:r w:rsidRPr="00B70FB6">
              <w:rPr>
                <w:rFonts w:ascii="Arial Narrow" w:hAnsi="Arial Narrow"/>
              </w:rPr>
              <w:t>(3) Perform automatic quality control check</w:t>
            </w:r>
            <w:r w:rsidR="00036E7D">
              <w:rPr>
                <w:rFonts w:ascii="Arial Narrow" w:hAnsi="Arial Narrow"/>
              </w:rPr>
              <w:t>s</w:t>
            </w:r>
            <w:r w:rsidRPr="00B70FB6">
              <w:rPr>
                <w:rFonts w:ascii="Arial Narrow" w:hAnsi="Arial Narrow"/>
              </w:rPr>
              <w:t xml:space="preserve"> by direction and lane of a WIM station for both classification and weight data following algorithms defined in TMG.</w:t>
            </w:r>
          </w:p>
          <w:p w:rsidR="00B70FB6" w:rsidRPr="00B70FB6" w:rsidRDefault="00B70FB6" w:rsidP="00B70FB6">
            <w:pPr>
              <w:ind w:left="360"/>
              <w:rPr>
                <w:rFonts w:ascii="Arial Narrow" w:hAnsi="Arial Narrow"/>
              </w:rPr>
            </w:pPr>
            <w:r w:rsidRPr="00B70FB6">
              <w:rPr>
                <w:rFonts w:ascii="Arial Narrow" w:hAnsi="Arial Narrow"/>
              </w:rPr>
              <w:t>(4) Provide user friendly interfaces to review monthly, weekly and daily traffic data, and investigate the WIM data that is incomplete or fails the automatic QC check through various manual</w:t>
            </w:r>
            <w:r w:rsidR="00036E7D">
              <w:rPr>
                <w:rFonts w:ascii="Arial Narrow" w:hAnsi="Arial Narrow"/>
              </w:rPr>
              <w:t>,</w:t>
            </w:r>
            <w:r w:rsidRPr="00B70FB6">
              <w:rPr>
                <w:rFonts w:ascii="Arial Narrow" w:hAnsi="Arial Narrow"/>
              </w:rPr>
              <w:t xml:space="preserve"> sampling</w:t>
            </w:r>
            <w:r w:rsidR="00036E7D">
              <w:rPr>
                <w:rFonts w:ascii="Arial Narrow" w:hAnsi="Arial Narrow"/>
              </w:rPr>
              <w:t>,</w:t>
            </w:r>
            <w:r w:rsidRPr="00B70FB6">
              <w:rPr>
                <w:rFonts w:ascii="Arial Narrow" w:hAnsi="Arial Narrow"/>
              </w:rPr>
              <w:t xml:space="preserve"> and analyzing operations.</w:t>
            </w:r>
          </w:p>
          <w:p w:rsidR="00B70FB6" w:rsidRPr="00B70FB6" w:rsidRDefault="00B70FB6" w:rsidP="00B70FB6">
            <w:pPr>
              <w:ind w:left="360"/>
              <w:rPr>
                <w:rFonts w:ascii="Arial Narrow" w:hAnsi="Arial Narrow"/>
              </w:rPr>
            </w:pPr>
            <w:r w:rsidRPr="00B70FB6">
              <w:rPr>
                <w:rFonts w:ascii="Arial Narrow" w:hAnsi="Arial Narrow"/>
              </w:rPr>
              <w:t>(5) Conduct field quality check for portable WIM data collection.</w:t>
            </w:r>
          </w:p>
          <w:p w:rsidR="00B70FB6" w:rsidRPr="00B70FB6" w:rsidRDefault="00B70FB6" w:rsidP="00B70FB6">
            <w:pPr>
              <w:ind w:left="360"/>
              <w:rPr>
                <w:rFonts w:ascii="Arial Narrow" w:hAnsi="Arial Narrow"/>
              </w:rPr>
            </w:pPr>
            <w:r w:rsidRPr="00B70FB6">
              <w:rPr>
                <w:rFonts w:ascii="Arial Narrow" w:hAnsi="Arial Narrow"/>
              </w:rPr>
              <w:t xml:space="preserve">(6) Generate three levels of traffic inputs: Level 1 site specific, Level 2 clustering average, Level 3 state average, and LTPP TPF-5(004) defaults. </w:t>
            </w:r>
          </w:p>
          <w:p w:rsidR="002A183C" w:rsidRDefault="00B70FB6" w:rsidP="00B70FB6">
            <w:pPr>
              <w:ind w:left="360"/>
              <w:rPr>
                <w:rFonts w:ascii="Arial Narrow" w:hAnsi="Arial Narrow"/>
              </w:rPr>
            </w:pPr>
            <w:r w:rsidRPr="00B70FB6">
              <w:rPr>
                <w:rFonts w:ascii="Arial Narrow" w:hAnsi="Arial Narrow"/>
              </w:rPr>
              <w:t>(7) Clustering methods developed by North Carolina and Michigan DOTs, the Truck Traffic Classification (TTC) method, and the simplified TTC approach are fully implemented</w:t>
            </w:r>
            <w:r w:rsidR="00036E7D">
              <w:rPr>
                <w:rFonts w:ascii="Arial Narrow" w:hAnsi="Arial Narrow"/>
              </w:rPr>
              <w:t>,</w:t>
            </w:r>
            <w:r w:rsidRPr="00B70FB6">
              <w:rPr>
                <w:rFonts w:ascii="Arial Narrow" w:hAnsi="Arial Narrow"/>
              </w:rPr>
              <w:t xml:space="preserve"> offering state agencies </w:t>
            </w:r>
            <w:r w:rsidR="00036E7D">
              <w:rPr>
                <w:rFonts w:ascii="Arial Narrow" w:hAnsi="Arial Narrow"/>
              </w:rPr>
              <w:t xml:space="preserve">with </w:t>
            </w:r>
            <w:r w:rsidRPr="00B70FB6">
              <w:rPr>
                <w:rFonts w:ascii="Arial Narrow" w:hAnsi="Arial Narrow"/>
              </w:rPr>
              <w:t>the flexibility of generating Level 2 loading spectra inputs for Pavement ME Design based on the availability of traffic data.</w:t>
            </w:r>
          </w:p>
          <w:p w:rsidR="00B70FB6" w:rsidRDefault="00B70FB6" w:rsidP="00B70FB6">
            <w:pPr>
              <w:ind w:left="360"/>
              <w:rPr>
                <w:rFonts w:ascii="Arial Narrow" w:hAnsi="Arial Narrow"/>
              </w:rPr>
            </w:pPr>
            <w:r>
              <w:rPr>
                <w:rFonts w:ascii="Arial Narrow" w:hAnsi="Arial Narrow"/>
              </w:rPr>
              <w:t xml:space="preserve">(8) </w:t>
            </w:r>
            <w:r w:rsidRPr="00B70FB6">
              <w:rPr>
                <w:rFonts w:ascii="Arial Narrow" w:hAnsi="Arial Narrow"/>
              </w:rPr>
              <w:t>Generate input files in the file formats that can be directly imported into MEPDG and Pavement ME Design software.</w:t>
            </w: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125553" w:rsidP="002A183C">
            <w:pPr>
              <w:ind w:left="324" w:hanging="324"/>
              <w:rPr>
                <w:rFonts w:ascii="Arial Narrow" w:hAnsi="Arial Narrow"/>
              </w:rPr>
            </w:pPr>
            <w:r>
              <w:rPr>
                <w:rFonts w:ascii="Arial Narrow" w:hAnsi="Arial Narrow"/>
              </w:rPr>
              <w:t>7</w:t>
            </w:r>
            <w:r w:rsidR="002A183C">
              <w:rPr>
                <w:rFonts w:ascii="Arial Narrow" w:hAnsi="Arial Narrow"/>
              </w:rPr>
              <w:t>.   If appropriate, please attach photographs, diagrams, or other images illustrating the appearance or functionality of the technology. (If electronic, please provide a separate file.) Please list your attachments here.</w:t>
            </w:r>
          </w:p>
          <w:p w:rsidR="007A6AFE" w:rsidRDefault="007A6AFE">
            <w:pPr>
              <w:rPr>
                <w:rFonts w:ascii="Arial Narrow" w:hAnsi="Arial Narrow"/>
              </w:rPr>
            </w:pPr>
            <w:r w:rsidRPr="006E67C9">
              <w:rPr>
                <w:rFonts w:ascii="Arial Narrow" w:hAnsi="Arial Narrow"/>
                <w:noProof/>
              </w:rPr>
              <w:drawing>
                <wp:inline distT="0" distB="0" distL="0" distR="0" wp14:anchorId="363484DE" wp14:editId="17DA14AA">
                  <wp:extent cx="3848481" cy="2450973"/>
                  <wp:effectExtent l="19050" t="0" r="0" b="0"/>
                  <wp:docPr id="3" name="Picture 1" descr="C:\Users\PHDLIQIANG\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DLIQIANG\Desktop\001.JPG"/>
                          <pic:cNvPicPr>
                            <a:picLocks noChangeAspect="1" noChangeArrowheads="1"/>
                          </pic:cNvPicPr>
                        </pic:nvPicPr>
                        <pic:blipFill>
                          <a:blip r:embed="rId11" cstate="print"/>
                          <a:srcRect/>
                          <a:stretch>
                            <a:fillRect/>
                          </a:stretch>
                        </pic:blipFill>
                        <pic:spPr bwMode="auto">
                          <a:xfrm>
                            <a:off x="0" y="0"/>
                            <a:ext cx="3848481" cy="2450973"/>
                          </a:xfrm>
                          <a:prstGeom prst="rect">
                            <a:avLst/>
                          </a:prstGeom>
                          <a:noFill/>
                          <a:ln w="9525">
                            <a:noFill/>
                            <a:miter lim="800000"/>
                            <a:headEnd/>
                            <a:tailEnd/>
                          </a:ln>
                        </pic:spPr>
                      </pic:pic>
                    </a:graphicData>
                  </a:graphic>
                </wp:inline>
              </w:drawing>
            </w:r>
          </w:p>
          <w:p w:rsidR="007A6AFE" w:rsidRDefault="007A6AFE">
            <w:pPr>
              <w:rPr>
                <w:rFonts w:ascii="Arial Narrow" w:hAnsi="Arial Narrow"/>
              </w:rPr>
            </w:pPr>
            <w:r w:rsidRPr="006E67C9">
              <w:rPr>
                <w:rFonts w:ascii="Arial Narrow" w:hAnsi="Arial Narrow"/>
                <w:noProof/>
              </w:rPr>
              <w:drawing>
                <wp:inline distT="0" distB="0" distL="0" distR="0" wp14:anchorId="24577355" wp14:editId="49F058D9">
                  <wp:extent cx="3849624" cy="2476500"/>
                  <wp:effectExtent l="19050" t="0" r="0" b="0"/>
                  <wp:docPr id="4" name="Picture 2" descr="C:\Users\PHDLIQIANG\Desktop\0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HDLIQIANG\Desktop\002.jpg"/>
                          <pic:cNvPicPr>
                            <a:picLocks noChangeAspect="1" noChangeArrowheads="1"/>
                          </pic:cNvPicPr>
                        </pic:nvPicPr>
                        <pic:blipFill>
                          <a:blip r:embed="rId12" cstate="print"/>
                          <a:srcRect/>
                          <a:stretch>
                            <a:fillRect/>
                          </a:stretch>
                        </pic:blipFill>
                        <pic:spPr bwMode="auto">
                          <a:xfrm>
                            <a:off x="0" y="0"/>
                            <a:ext cx="3849624" cy="2476500"/>
                          </a:xfrm>
                          <a:prstGeom prst="rect">
                            <a:avLst/>
                          </a:prstGeom>
                          <a:noFill/>
                          <a:ln w="9525">
                            <a:noFill/>
                            <a:miter lim="800000"/>
                            <a:headEnd/>
                            <a:tailEnd/>
                          </a:ln>
                        </pic:spPr>
                      </pic:pic>
                    </a:graphicData>
                  </a:graphic>
                </wp:inline>
              </w:drawing>
            </w:r>
          </w:p>
          <w:p w:rsidR="002A183C" w:rsidRDefault="007A6AFE">
            <w:pPr>
              <w:rPr>
                <w:rFonts w:ascii="Arial Narrow" w:hAnsi="Arial Narrow"/>
              </w:rPr>
            </w:pPr>
            <w:r w:rsidRPr="006E67C9">
              <w:rPr>
                <w:rFonts w:ascii="Arial Narrow" w:hAnsi="Arial Narrow"/>
                <w:noProof/>
              </w:rPr>
              <w:drawing>
                <wp:inline distT="0" distB="0" distL="0" distR="0" wp14:anchorId="248D55EC" wp14:editId="5D261773">
                  <wp:extent cx="3849624" cy="2476500"/>
                  <wp:effectExtent l="19050" t="0" r="0" b="0"/>
                  <wp:docPr id="5" name="Picture 3" descr="C:\Users\PHDLIQIANG\Desktop\0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PHDLIQIANG\Desktop\003.jpg"/>
                          <pic:cNvPicPr>
                            <a:picLocks noChangeAspect="1" noChangeArrowheads="1"/>
                          </pic:cNvPicPr>
                        </pic:nvPicPr>
                        <pic:blipFill>
                          <a:blip r:embed="rId13" cstate="print"/>
                          <a:srcRect/>
                          <a:stretch>
                            <a:fillRect/>
                          </a:stretch>
                        </pic:blipFill>
                        <pic:spPr bwMode="auto">
                          <a:xfrm>
                            <a:off x="0" y="0"/>
                            <a:ext cx="3849624" cy="2476500"/>
                          </a:xfrm>
                          <a:prstGeom prst="rect">
                            <a:avLst/>
                          </a:prstGeom>
                          <a:noFill/>
                          <a:ln w="9525">
                            <a:noFill/>
                            <a:miter lim="800000"/>
                            <a:headEnd/>
                            <a:tailEnd/>
                          </a:ln>
                        </pic:spPr>
                      </pic:pic>
                    </a:graphicData>
                  </a:graphic>
                </wp:inline>
              </w:drawing>
            </w:r>
            <w:r w:rsidR="00F5198F">
              <w:rPr>
                <w:rFonts w:ascii="Arial Narrow" w:hAnsi="Arial Narrow"/>
              </w:rPr>
              <w:fldChar w:fldCharType="begin">
                <w:ffData>
                  <w:name w:val="Text12"/>
                  <w:enabled/>
                  <w:calcOnExit w:val="0"/>
                  <w:statusText w:type="text" w:val="Concisely describe the technology, including its composition and functionality"/>
                  <w:textInput/>
                </w:ffData>
              </w:fldChar>
            </w:r>
            <w:bookmarkStart w:id="1" w:name="Text12"/>
            <w:r w:rsidR="002A183C">
              <w:rPr>
                <w:rFonts w:ascii="Arial Narrow" w:hAnsi="Arial Narrow"/>
              </w:rPr>
              <w:instrText xml:space="preserve"> FORMTEXT </w:instrText>
            </w:r>
            <w:r w:rsidR="007E506F">
              <w:rPr>
                <w:rFonts w:ascii="Arial Narrow" w:hAnsi="Arial Narrow"/>
              </w:rPr>
            </w:r>
            <w:r w:rsidR="007E506F">
              <w:rPr>
                <w:rFonts w:ascii="Arial Narrow" w:hAnsi="Arial Narrow"/>
              </w:rPr>
              <w:fldChar w:fldCharType="separate"/>
            </w:r>
            <w:r w:rsidR="00F5198F">
              <w:rPr>
                <w:rFonts w:ascii="Arial Narrow" w:hAnsi="Arial Narrow"/>
              </w:rPr>
              <w:fldChar w:fldCharType="end"/>
            </w:r>
            <w:bookmarkEnd w:id="1"/>
          </w:p>
          <w:p w:rsidR="00737227" w:rsidRDefault="00737227">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lastRenderedPageBreak/>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 at least one State DOT. The TIG</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125553" w:rsidP="00125553">
            <w:pPr>
              <w:rPr>
                <w:rFonts w:ascii="Arial Narrow" w:hAnsi="Arial Narrow"/>
              </w:rPr>
            </w:pPr>
            <w:r>
              <w:rPr>
                <w:rFonts w:ascii="Arial Narrow" w:hAnsi="Arial Narrow"/>
              </w:rPr>
              <w:t>8.     B</w:t>
            </w:r>
            <w:r w:rsidR="002A183C">
              <w:rPr>
                <w:rFonts w:ascii="Arial Narrow" w:hAnsi="Arial Narrow"/>
              </w:rPr>
              <w:t>riefly describe the history of its development.</w:t>
            </w:r>
          </w:p>
          <w:p w:rsidR="000C0250" w:rsidRPr="000C0250" w:rsidRDefault="000C0250" w:rsidP="000C0250">
            <w:pPr>
              <w:numPr>
                <w:ilvl w:val="0"/>
                <w:numId w:val="8"/>
              </w:numPr>
              <w:rPr>
                <w:rFonts w:ascii="Arial Narrow" w:hAnsi="Arial Narrow"/>
              </w:rPr>
            </w:pPr>
            <w:r w:rsidRPr="000C0250">
              <w:rPr>
                <w:rFonts w:ascii="Arial Narrow" w:hAnsi="Arial Narrow"/>
              </w:rPr>
              <w:t>Lead state: LADOTD</w:t>
            </w:r>
          </w:p>
          <w:p w:rsidR="000C0250" w:rsidRPr="000C0250" w:rsidRDefault="000C0250" w:rsidP="000C0250">
            <w:pPr>
              <w:numPr>
                <w:ilvl w:val="0"/>
                <w:numId w:val="8"/>
              </w:numPr>
              <w:rPr>
                <w:rFonts w:ascii="Arial Narrow" w:hAnsi="Arial Narrow"/>
              </w:rPr>
            </w:pPr>
            <w:r w:rsidRPr="000C0250">
              <w:rPr>
                <w:rFonts w:ascii="Arial Narrow" w:hAnsi="Arial Narrow"/>
              </w:rPr>
              <w:t>Sign up states: HI, KY, LA, MD, NC, NH, WI, MI, and FHWA</w:t>
            </w:r>
          </w:p>
          <w:p w:rsidR="000C0250" w:rsidRPr="000C0250" w:rsidRDefault="000C0250" w:rsidP="000C0250">
            <w:pPr>
              <w:numPr>
                <w:ilvl w:val="0"/>
                <w:numId w:val="8"/>
              </w:numPr>
              <w:rPr>
                <w:rFonts w:ascii="Arial Narrow" w:hAnsi="Arial Narrow"/>
              </w:rPr>
            </w:pPr>
            <w:r w:rsidRPr="000C0250">
              <w:rPr>
                <w:rFonts w:ascii="Arial Narrow" w:hAnsi="Arial Narrow"/>
              </w:rPr>
              <w:t xml:space="preserve">Contract period: Sep. 1, 2011 – Aug. 31, 2014 </w:t>
            </w:r>
          </w:p>
          <w:p w:rsidR="000C0250" w:rsidRPr="000C0250" w:rsidRDefault="000C0250" w:rsidP="000C0250">
            <w:pPr>
              <w:numPr>
                <w:ilvl w:val="0"/>
                <w:numId w:val="8"/>
              </w:numPr>
              <w:rPr>
                <w:rFonts w:ascii="Arial Narrow" w:hAnsi="Arial Narrow"/>
              </w:rPr>
            </w:pPr>
            <w:r w:rsidRPr="000C0250">
              <w:rPr>
                <w:rFonts w:ascii="Arial Narrow" w:hAnsi="Arial Narrow"/>
              </w:rPr>
              <w:t>Commitment: $50,000/State total for three years</w:t>
            </w:r>
          </w:p>
          <w:p w:rsidR="000C0250" w:rsidRPr="000C0250" w:rsidRDefault="000C0250" w:rsidP="000C0250">
            <w:pPr>
              <w:numPr>
                <w:ilvl w:val="0"/>
                <w:numId w:val="8"/>
              </w:numPr>
              <w:rPr>
                <w:rFonts w:ascii="Arial Narrow" w:hAnsi="Arial Narrow"/>
              </w:rPr>
            </w:pPr>
            <w:r w:rsidRPr="000C0250">
              <w:rPr>
                <w:rFonts w:ascii="Arial Narrow" w:hAnsi="Arial Narrow"/>
              </w:rPr>
              <w:t>Sponsor contact: Harold Paul / Doc Zhang harold.paul@la.gov</w:t>
            </w:r>
          </w:p>
          <w:p w:rsidR="002A183C" w:rsidRDefault="000C0250" w:rsidP="000C0250">
            <w:pPr>
              <w:numPr>
                <w:ilvl w:val="0"/>
                <w:numId w:val="8"/>
              </w:numPr>
              <w:rPr>
                <w:rFonts w:ascii="Arial Narrow" w:hAnsi="Arial Narrow"/>
              </w:rPr>
            </w:pPr>
            <w:r w:rsidRPr="000C0250">
              <w:rPr>
                <w:rFonts w:ascii="Arial Narrow" w:hAnsi="Arial Narrow"/>
              </w:rPr>
              <w:t>FHWA contact: Gary Crawford</w:t>
            </w:r>
            <w:r>
              <w:rPr>
                <w:rFonts w:ascii="Arial Narrow" w:hAnsi="Arial Narrow"/>
              </w:rPr>
              <w:t xml:space="preserve">, </w:t>
            </w:r>
            <w:r w:rsidRPr="000C0250">
              <w:rPr>
                <w:rFonts w:ascii="Arial Narrow" w:hAnsi="Arial Narrow"/>
              </w:rPr>
              <w:t>Gary.Crawford@dot.gov</w:t>
            </w:r>
          </w:p>
        </w:tc>
      </w:tr>
      <w:tr w:rsidR="002A183C" w:rsidTr="00DC30FA">
        <w:trPr>
          <w:cantSplit/>
          <w:trHeight w:val="1232"/>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Pr="00125553" w:rsidRDefault="00125553" w:rsidP="00125553">
            <w:pPr>
              <w:keepLines/>
              <w:rPr>
                <w:rFonts w:ascii="Arial Narrow" w:hAnsi="Arial Narrow"/>
              </w:rPr>
            </w:pPr>
            <w:r>
              <w:rPr>
                <w:rFonts w:ascii="Arial Narrow" w:hAnsi="Arial Narrow"/>
              </w:rPr>
              <w:t xml:space="preserve">9.     </w:t>
            </w:r>
            <w:r w:rsidR="002A183C" w:rsidRPr="00125553">
              <w:rPr>
                <w:rFonts w:ascii="Arial Narrow" w:hAnsi="Arial Narrow"/>
              </w:rPr>
              <w:t>For how long and in approximately how many applications has your State DOT used this technology?</w:t>
            </w:r>
          </w:p>
          <w:p w:rsidR="00276652" w:rsidRDefault="00276652">
            <w:pPr>
              <w:keepLines/>
              <w:rPr>
                <w:rFonts w:ascii="Arial Narrow" w:hAnsi="Arial Narrow"/>
              </w:rPr>
            </w:pPr>
          </w:p>
          <w:p w:rsidR="002A183C" w:rsidRDefault="0030568A">
            <w:pPr>
              <w:keepLines/>
              <w:rPr>
                <w:rFonts w:ascii="Arial Narrow" w:hAnsi="Arial Narrow"/>
              </w:rPr>
            </w:pPr>
            <w:r>
              <w:rPr>
                <w:rFonts w:ascii="Arial Narrow" w:hAnsi="Arial Narrow"/>
              </w:rPr>
              <w:t xml:space="preserve">Eight state highway agencies, including </w:t>
            </w:r>
            <w:r w:rsidRPr="0030568A">
              <w:rPr>
                <w:rFonts w:ascii="Arial Narrow" w:hAnsi="Arial Narrow"/>
              </w:rPr>
              <w:t xml:space="preserve">HI, KY, LA, MD, NC, NH, WI, </w:t>
            </w:r>
            <w:r>
              <w:rPr>
                <w:rFonts w:ascii="Arial Narrow" w:hAnsi="Arial Narrow"/>
              </w:rPr>
              <w:t xml:space="preserve">and </w:t>
            </w:r>
            <w:r w:rsidRPr="0030568A">
              <w:rPr>
                <w:rFonts w:ascii="Arial Narrow" w:hAnsi="Arial Narrow"/>
              </w:rPr>
              <w:t>MI</w:t>
            </w:r>
            <w:r>
              <w:rPr>
                <w:rFonts w:ascii="Arial Narrow" w:hAnsi="Arial Narrow"/>
              </w:rPr>
              <w:t>, are in the process of implementing this software in their daily production activities.</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Pr="00125553" w:rsidRDefault="00125553" w:rsidP="00125553">
            <w:pPr>
              <w:keepLines/>
              <w:rPr>
                <w:rFonts w:ascii="Arial Narrow" w:hAnsi="Arial Narrow"/>
              </w:rPr>
            </w:pPr>
            <w:r>
              <w:rPr>
                <w:rFonts w:ascii="Arial Narrow" w:hAnsi="Arial Narrow"/>
              </w:rPr>
              <w:t xml:space="preserve">10.     </w:t>
            </w:r>
            <w:r w:rsidR="002A183C" w:rsidRPr="00125553">
              <w:rPr>
                <w:rFonts w:ascii="Arial Narrow" w:hAnsi="Arial Narrow"/>
              </w:rPr>
              <w:t>What additional development is necessary to enable routine deployment of the technology?</w:t>
            </w:r>
          </w:p>
          <w:p w:rsidR="00276652" w:rsidRDefault="00276652" w:rsidP="0030568A">
            <w:pPr>
              <w:keepLines/>
              <w:rPr>
                <w:rFonts w:ascii="Arial Narrow" w:hAnsi="Arial Narrow"/>
              </w:rPr>
            </w:pPr>
          </w:p>
          <w:p w:rsidR="002A183C" w:rsidRDefault="0030568A" w:rsidP="0030568A">
            <w:pPr>
              <w:keepLines/>
              <w:rPr>
                <w:rFonts w:ascii="Arial Narrow" w:hAnsi="Arial Narrow"/>
              </w:rPr>
            </w:pPr>
            <w:r w:rsidRPr="0030568A">
              <w:rPr>
                <w:rFonts w:ascii="Arial Narrow" w:hAnsi="Arial Narrow"/>
              </w:rPr>
              <w:t>Future developments and enhancement of Prep-ME will be based on the needs of individual states</w:t>
            </w:r>
            <w:r>
              <w:rPr>
                <w:rFonts w:ascii="Arial Narrow" w:hAnsi="Arial Narrow"/>
              </w:rPr>
              <w:t xml:space="preserve"> </w:t>
            </w:r>
            <w:r w:rsidRPr="0030568A">
              <w:rPr>
                <w:rFonts w:ascii="Arial Narrow" w:hAnsi="Arial Narrow"/>
              </w:rPr>
              <w:t>with more specific features requested by individual states.</w:t>
            </w:r>
            <w:r>
              <w:rPr>
                <w:rFonts w:ascii="Arial Narrow" w:hAnsi="Arial Narrow"/>
              </w:rPr>
              <w:t xml:space="preserve">  Technical support and training are needed for other states to enable routine deployment of the software.</w:t>
            </w:r>
          </w:p>
          <w:p w:rsidR="00276652" w:rsidRPr="0030568A" w:rsidRDefault="00276652" w:rsidP="0030568A">
            <w:pPr>
              <w:keepLines/>
              <w:rPr>
                <w:rFonts w:ascii="Arial Narrow" w:hAnsi="Arial Narrow"/>
              </w:rPr>
            </w:pP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125553" w:rsidRDefault="00125553" w:rsidP="00125553">
            <w:pPr>
              <w:keepLines/>
              <w:rPr>
                <w:rFonts w:ascii="Arial Narrow" w:hAnsi="Arial Narrow"/>
              </w:rPr>
            </w:pPr>
            <w:r>
              <w:rPr>
                <w:rFonts w:ascii="Arial Narrow" w:hAnsi="Arial Narrow"/>
              </w:rPr>
              <w:t xml:space="preserve">11.     </w:t>
            </w:r>
            <w:r w:rsidR="002A183C" w:rsidRPr="00125553">
              <w:rPr>
                <w:rFonts w:ascii="Arial Narrow" w:hAnsi="Arial Narrow"/>
              </w:rPr>
              <w:t xml:space="preserve">Have other organizations used this technology? Yes or No: </w:t>
            </w:r>
            <w:r w:rsidR="0030568A" w:rsidRPr="00125553">
              <w:rPr>
                <w:rFonts w:ascii="Arial Narrow" w:hAnsi="Arial Narrow"/>
              </w:rPr>
              <w:t>yes</w:t>
            </w:r>
            <w:r w:rsidR="002A183C" w:rsidRPr="00125553">
              <w:rPr>
                <w:rFonts w:ascii="Arial Narrow" w:hAnsi="Arial Narrow"/>
              </w:rPr>
              <w:t xml:space="preserve"> 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6B74A2">
            <w:pPr>
              <w:keepLines/>
              <w:rPr>
                <w:rFonts w:ascii="Arial Narrow" w:hAnsi="Arial Narrow"/>
              </w:rPr>
            </w:pPr>
            <w:r>
              <w:rPr>
                <w:rFonts w:ascii="Arial Narrow" w:hAnsi="Arial Narrow"/>
              </w:rPr>
              <w:t>NC DOT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6B74A2" w:rsidP="006B74A2">
            <w:pPr>
              <w:keepLines/>
              <w:rPr>
                <w:rFonts w:ascii="Arial Narrow" w:hAnsi="Arial Narrow"/>
              </w:rPr>
            </w:pPr>
            <w:r w:rsidRPr="006B74A2">
              <w:rPr>
                <w:rFonts w:ascii="Arial Narrow" w:hAnsi="Arial Narrow"/>
              </w:rPr>
              <w:t>Kent L Taylor</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4387F">
            <w:pPr>
              <w:keepLines/>
              <w:rPr>
                <w:rFonts w:ascii="Arial Narrow" w:hAnsi="Arial Narrow"/>
              </w:rPr>
            </w:pPr>
            <w:r>
              <w:rPr>
                <w:rFonts w:ascii="Arial Narrow" w:hAnsi="Arial Narrow"/>
              </w:rPr>
              <w:t>(919) 212-4550</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6B74A2">
            <w:pPr>
              <w:keepLines/>
              <w:rPr>
                <w:rFonts w:ascii="Arial Narrow" w:hAnsi="Arial Narrow"/>
              </w:rPr>
            </w:pPr>
            <w:r w:rsidRPr="006B74A2">
              <w:rPr>
                <w:rFonts w:ascii="Arial Narrow" w:hAnsi="Arial Narrow"/>
              </w:rPr>
              <w:t>kltaylor@ncdot.gov</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6B74A2">
            <w:pPr>
              <w:keepLines/>
              <w:rPr>
                <w:rFonts w:ascii="Arial Narrow" w:hAnsi="Arial Narrow"/>
              </w:rPr>
            </w:pPr>
            <w:r>
              <w:rPr>
                <w:rFonts w:ascii="Arial Narrow" w:hAnsi="Arial Narrow"/>
              </w:rPr>
              <w:t>MI DOT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6B74A2">
            <w:pPr>
              <w:keepLines/>
              <w:rPr>
                <w:rFonts w:ascii="Arial Narrow" w:hAnsi="Arial Narrow"/>
              </w:rPr>
            </w:pPr>
            <w:r w:rsidRPr="006B74A2">
              <w:rPr>
                <w:rFonts w:ascii="Arial Narrow" w:hAnsi="Arial Narrow"/>
              </w:rPr>
              <w:t>Michael Eacker</w:t>
            </w:r>
          </w:p>
        </w:tc>
        <w:tc>
          <w:tcPr>
            <w:tcW w:w="1440" w:type="dxa"/>
            <w:tcBorders>
              <w:top w:val="single" w:sz="4" w:space="0" w:color="C0C0C0"/>
              <w:left w:val="single" w:sz="4" w:space="0" w:color="C0C0C0"/>
              <w:bottom w:val="single" w:sz="4" w:space="0" w:color="C0C0C0"/>
              <w:right w:val="single" w:sz="4" w:space="0" w:color="C0C0C0"/>
            </w:tcBorders>
          </w:tcPr>
          <w:p w:rsidR="002A183C" w:rsidRDefault="006B74A2">
            <w:pPr>
              <w:keepLines/>
              <w:rPr>
                <w:rFonts w:ascii="Arial Narrow" w:hAnsi="Arial Narrow"/>
              </w:rPr>
            </w:pPr>
            <w:r w:rsidRPr="006B74A2">
              <w:rPr>
                <w:rFonts w:ascii="Arial Narrow" w:hAnsi="Arial Narrow"/>
              </w:rPr>
              <w:t>(517) 322-3474</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6B74A2">
            <w:pPr>
              <w:keepLines/>
              <w:rPr>
                <w:rFonts w:ascii="Arial Narrow" w:hAnsi="Arial Narrow"/>
              </w:rPr>
            </w:pPr>
            <w:r w:rsidRPr="006B74A2">
              <w:rPr>
                <w:rFonts w:ascii="Arial Narrow" w:hAnsi="Arial Narrow"/>
              </w:rPr>
              <w:t>eackerm@michigan.gov</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4387F">
            <w:pPr>
              <w:keepLines/>
              <w:rPr>
                <w:rFonts w:ascii="Arial Narrow" w:hAnsi="Arial Narrow"/>
              </w:rPr>
            </w:pPr>
            <w:r>
              <w:rPr>
                <w:rFonts w:ascii="Arial Narrow" w:hAnsi="Arial Narrow"/>
              </w:rPr>
              <w:t>KY Transportation Cabinet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4387F">
            <w:pPr>
              <w:keepLines/>
              <w:rPr>
                <w:rFonts w:ascii="Arial Narrow" w:hAnsi="Arial Narrow"/>
              </w:rPr>
            </w:pPr>
            <w:r>
              <w:rPr>
                <w:rFonts w:ascii="Arial Narrow" w:hAnsi="Arial Narrow"/>
              </w:rPr>
              <w:t>Paul Looney</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4387F">
            <w:pPr>
              <w:keepLines/>
              <w:rPr>
                <w:rFonts w:ascii="Arial Narrow" w:hAnsi="Arial Narrow"/>
              </w:rPr>
            </w:pPr>
            <w:r>
              <w:rPr>
                <w:rFonts w:ascii="Arial Narrow" w:hAnsi="Arial Narrow"/>
              </w:rPr>
              <w:t>(502) 782-4897</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4387F">
            <w:pPr>
              <w:keepLines/>
              <w:rPr>
                <w:rFonts w:ascii="Arial Narrow" w:hAnsi="Arial Narrow"/>
              </w:rPr>
            </w:pPr>
            <w:r w:rsidRPr="0024387F">
              <w:rPr>
                <w:rFonts w:ascii="Arial Narrow" w:hAnsi="Arial Narrow"/>
              </w:rPr>
              <w:t>paul.looney@ky.gov</w:t>
            </w:r>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4387F">
            <w:pPr>
              <w:keepLines/>
              <w:rPr>
                <w:rFonts w:ascii="Arial Narrow" w:hAnsi="Arial Narrow"/>
              </w:rPr>
            </w:pPr>
            <w:r>
              <w:rPr>
                <w:rFonts w:ascii="Arial Narrow" w:hAnsi="Arial Narrow"/>
              </w:rPr>
              <w:t>Wi DOT</w:t>
            </w:r>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4387F">
            <w:pPr>
              <w:keepLines/>
              <w:rPr>
                <w:rFonts w:ascii="Arial Narrow" w:hAnsi="Arial Narrow"/>
              </w:rPr>
            </w:pPr>
            <w:r>
              <w:rPr>
                <w:rFonts w:ascii="Arial Narrow" w:hAnsi="Arial Narrow"/>
              </w:rPr>
              <w:t>Laura Fenley</w:t>
            </w:r>
          </w:p>
        </w:tc>
        <w:tc>
          <w:tcPr>
            <w:tcW w:w="1440" w:type="dxa"/>
            <w:tcBorders>
              <w:top w:val="single" w:sz="4" w:space="0" w:color="C0C0C0"/>
              <w:left w:val="single" w:sz="4" w:space="0" w:color="C0C0C0"/>
              <w:bottom w:val="single" w:sz="4" w:space="0" w:color="auto"/>
              <w:right w:val="single" w:sz="4" w:space="0" w:color="C0C0C0"/>
            </w:tcBorders>
          </w:tcPr>
          <w:p w:rsidR="002A183C" w:rsidRDefault="0024387F">
            <w:pPr>
              <w:keepLines/>
              <w:rPr>
                <w:rFonts w:ascii="Arial Narrow" w:hAnsi="Arial Narrow"/>
              </w:rPr>
            </w:pPr>
            <w:r>
              <w:rPr>
                <w:rFonts w:ascii="Arial Narrow" w:hAnsi="Arial Narrow"/>
              </w:rPr>
              <w:t>(608) 246-5455</w:t>
            </w:r>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4387F">
            <w:pPr>
              <w:keepLines/>
              <w:rPr>
                <w:rFonts w:ascii="Arial Narrow" w:hAnsi="Arial Narrow"/>
              </w:rPr>
            </w:pPr>
            <w:r w:rsidRPr="0024387F">
              <w:rPr>
                <w:rFonts w:ascii="Arial Narrow" w:hAnsi="Arial Narrow"/>
              </w:rPr>
              <w:t>laura.fenley@dot.wi.gov</w:t>
            </w:r>
          </w:p>
        </w:tc>
      </w:tr>
      <w:tr w:rsidR="002A183C" w:rsidTr="00DC30FA">
        <w:trPr>
          <w:cantSplit/>
          <w:trHeight w:val="284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Pr="00125553" w:rsidRDefault="00125553" w:rsidP="00125553">
            <w:pPr>
              <w:rPr>
                <w:rFonts w:ascii="Arial Narrow" w:hAnsi="Arial Narrow"/>
              </w:rPr>
            </w:pPr>
            <w:r>
              <w:rPr>
                <w:rFonts w:ascii="Arial Narrow" w:hAnsi="Arial Narrow"/>
              </w:rPr>
              <w:t xml:space="preserve">12.     </w:t>
            </w:r>
            <w:r w:rsidR="002A183C" w:rsidRPr="00125553">
              <w:rPr>
                <w:rFonts w:ascii="Arial Narrow" w:hAnsi="Arial Narrow"/>
              </w:rPr>
              <w:t>How does the technology meet customer or stakeholder needs in your State DOT or other organizations that have used it?</w:t>
            </w:r>
          </w:p>
          <w:p w:rsidR="00361CF0" w:rsidRDefault="00361CF0" w:rsidP="00361CF0">
            <w:pPr>
              <w:rPr>
                <w:rFonts w:ascii="Arial Narrow" w:hAnsi="Arial Narrow"/>
              </w:rPr>
            </w:pPr>
          </w:p>
          <w:p w:rsidR="002A183C" w:rsidRDefault="001140D7" w:rsidP="001140D7">
            <w:pPr>
              <w:pStyle w:val="ListParagraph"/>
              <w:numPr>
                <w:ilvl w:val="0"/>
                <w:numId w:val="9"/>
              </w:numPr>
              <w:rPr>
                <w:rFonts w:ascii="Arial Narrow" w:hAnsi="Arial Narrow"/>
              </w:rPr>
            </w:pPr>
            <w:r>
              <w:rPr>
                <w:rFonts w:ascii="Arial Narrow" w:hAnsi="Arial Narrow"/>
              </w:rPr>
              <w:t xml:space="preserve">Help state traffic data collection engineers to conduct </w:t>
            </w:r>
            <w:r w:rsidR="00361CF0">
              <w:rPr>
                <w:rFonts w:ascii="Arial Narrow" w:hAnsi="Arial Narrow"/>
              </w:rPr>
              <w:t xml:space="preserve">an effective </w:t>
            </w:r>
            <w:r>
              <w:rPr>
                <w:rFonts w:ascii="Arial Narrow" w:hAnsi="Arial Narrow"/>
              </w:rPr>
              <w:t>QA/QC check on traffic data collected for all kinds of applications, such as pavement design, HPMS,</w:t>
            </w:r>
            <w:r w:rsidR="00036E7D">
              <w:rPr>
                <w:rFonts w:ascii="Arial Narrow" w:hAnsi="Arial Narrow"/>
              </w:rPr>
              <w:t xml:space="preserve"> traffic planning, bridge design</w:t>
            </w:r>
            <w:r>
              <w:rPr>
                <w:rFonts w:ascii="Arial Narrow" w:hAnsi="Arial Narrow"/>
              </w:rPr>
              <w:t xml:space="preserve"> etc</w:t>
            </w:r>
            <w:r w:rsidR="00361CF0">
              <w:rPr>
                <w:rFonts w:ascii="Arial Narrow" w:hAnsi="Arial Narrow"/>
              </w:rPr>
              <w:t>.</w:t>
            </w:r>
          </w:p>
          <w:p w:rsidR="001140D7" w:rsidRDefault="001140D7" w:rsidP="001140D7">
            <w:pPr>
              <w:pStyle w:val="ListParagraph"/>
              <w:numPr>
                <w:ilvl w:val="0"/>
                <w:numId w:val="9"/>
              </w:numPr>
              <w:rPr>
                <w:rFonts w:ascii="Arial Narrow" w:hAnsi="Arial Narrow"/>
              </w:rPr>
            </w:pPr>
            <w:r>
              <w:rPr>
                <w:rFonts w:ascii="Arial Narrow" w:hAnsi="Arial Narrow"/>
              </w:rPr>
              <w:t xml:space="preserve">Help state pavement design engineers to analyze the </w:t>
            </w:r>
            <w:r w:rsidR="00361CF0">
              <w:rPr>
                <w:rFonts w:ascii="Arial Narrow" w:hAnsi="Arial Narrow"/>
              </w:rPr>
              <w:t>traffic loading data collected through the Weight-in-Motion (WIM) technology and select the best load spectra for pavement design purpose among WIMs, national, and local defaults.</w:t>
            </w:r>
          </w:p>
          <w:p w:rsidR="00361CF0" w:rsidRDefault="00361CF0" w:rsidP="001140D7">
            <w:pPr>
              <w:pStyle w:val="ListParagraph"/>
              <w:numPr>
                <w:ilvl w:val="0"/>
                <w:numId w:val="9"/>
              </w:numPr>
              <w:rPr>
                <w:rFonts w:ascii="Arial Narrow" w:hAnsi="Arial Narrow"/>
              </w:rPr>
            </w:pPr>
            <w:r>
              <w:rPr>
                <w:rFonts w:ascii="Arial Narrow" w:hAnsi="Arial Narrow"/>
              </w:rPr>
              <w:t>Improve the productivities of above tasks operation tremendously.</w:t>
            </w:r>
          </w:p>
          <w:p w:rsidR="00361CF0" w:rsidRPr="001140D7" w:rsidRDefault="00361CF0" w:rsidP="00361CF0">
            <w:pPr>
              <w:pStyle w:val="ListParagraph"/>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1</w:t>
            </w:r>
            <w:r w:rsidR="00125553">
              <w:rPr>
                <w:rFonts w:ascii="Arial Narrow" w:hAnsi="Arial Narrow"/>
              </w:rPr>
              <w:t>3</w:t>
            </w:r>
            <w:r>
              <w:rPr>
                <w:rFonts w:ascii="Arial Narrow" w:hAnsi="Arial Narrow"/>
              </w:rPr>
              <w:t xml:space="preserve">.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1140D7" w:rsidRDefault="001140D7" w:rsidP="001140D7">
            <w:pPr>
              <w:keepLines/>
              <w:ind w:left="324" w:hanging="324"/>
              <w:rPr>
                <w:rFonts w:ascii="Arial Narrow" w:hAnsi="Arial Narrow"/>
              </w:rPr>
            </w:pPr>
          </w:p>
          <w:p w:rsidR="002A183C" w:rsidRDefault="001140D7" w:rsidP="001140D7">
            <w:pPr>
              <w:keepLines/>
              <w:ind w:left="324" w:hanging="324"/>
              <w:rPr>
                <w:rFonts w:ascii="Arial Narrow" w:hAnsi="Arial Narrow"/>
              </w:rPr>
            </w:pPr>
            <w:r>
              <w:rPr>
                <w:rFonts w:ascii="Arial Narrow" w:hAnsi="Arial Narrow"/>
              </w:rPr>
              <w:t>Provide quality traffic data for all types of applications and help the implementation of AASHTO Pavement ME design guide.</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Pr="00125553" w:rsidRDefault="00125553" w:rsidP="00125553">
            <w:pPr>
              <w:rPr>
                <w:rFonts w:ascii="Arial Narrow" w:hAnsi="Arial Narrow"/>
              </w:rPr>
            </w:pPr>
            <w:r>
              <w:rPr>
                <w:rFonts w:ascii="Arial Narrow" w:hAnsi="Arial Narrow"/>
              </w:rPr>
              <w:t xml:space="preserve">14.    </w:t>
            </w:r>
            <w:r w:rsidR="002A183C" w:rsidRPr="00125553">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1140D7" w:rsidRDefault="001140D7" w:rsidP="001140D7">
            <w:pPr>
              <w:rPr>
                <w:rFonts w:ascii="Arial Narrow" w:hAnsi="Arial Narrow"/>
              </w:rPr>
            </w:pPr>
          </w:p>
          <w:p w:rsidR="002A183C" w:rsidRDefault="001140D7" w:rsidP="001140D7">
            <w:pPr>
              <w:rPr>
                <w:rFonts w:ascii="Arial Narrow" w:hAnsi="Arial Narrow"/>
              </w:rPr>
            </w:pPr>
            <w:r>
              <w:rPr>
                <w:rFonts w:ascii="Arial Narrow" w:hAnsi="Arial Narrow"/>
              </w:rPr>
              <w:t>Prep-ME software and technology can be used by all state highway agencies for the QA/QC of traffic data collected, analysis of truck loading data, and preparation of input for AASHTO Pavement ME software.</w:t>
            </w: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lastRenderedPageBreak/>
              <w:t>Market Readiness (30 points)</w:t>
            </w: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TIG selection process will favor technologies that can be adopted with a reasonable amount of effort and cost, commensurate with the payoff potential.</w:t>
            </w:r>
          </w:p>
        </w:tc>
        <w:tc>
          <w:tcPr>
            <w:tcW w:w="8100" w:type="dxa"/>
            <w:gridSpan w:val="6"/>
          </w:tcPr>
          <w:p w:rsidR="002A183C" w:rsidRPr="00125553" w:rsidRDefault="00125553" w:rsidP="00125553">
            <w:pPr>
              <w:rPr>
                <w:rFonts w:ascii="Arial Narrow" w:hAnsi="Arial Narrow"/>
              </w:rPr>
            </w:pPr>
            <w:r>
              <w:rPr>
                <w:rFonts w:ascii="Arial Narrow" w:hAnsi="Arial Narrow"/>
              </w:rPr>
              <w:t>15.    W</w:t>
            </w:r>
            <w:r w:rsidR="002A183C" w:rsidRPr="00125553">
              <w:rPr>
                <w:rFonts w:ascii="Arial Narrow" w:hAnsi="Arial Narrow"/>
              </w:rPr>
              <w:t>hat actions would another organization need to take to adopt this technology?</w:t>
            </w:r>
          </w:p>
          <w:p w:rsidR="00DC30FA" w:rsidRDefault="00DC30FA" w:rsidP="002A183C">
            <w:pPr>
              <w:rPr>
                <w:rFonts w:ascii="Arial Narrow" w:hAnsi="Arial Narrow"/>
              </w:rPr>
            </w:pPr>
          </w:p>
          <w:p w:rsidR="002A183C" w:rsidRPr="002A183C" w:rsidRDefault="000A3BB1" w:rsidP="002A183C">
            <w:pPr>
              <w:rPr>
                <w:rFonts w:ascii="Arial Narrow" w:hAnsi="Arial Narrow"/>
              </w:rPr>
            </w:pPr>
            <w:r>
              <w:rPr>
                <w:rFonts w:ascii="Arial Narrow" w:hAnsi="Arial Narrow"/>
              </w:rPr>
              <w:t>Install the software, get the training on how to use it, provide feedback to software developer, and make necessary changes to meet the state’s specific needs.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Pr="00125553" w:rsidRDefault="00125553" w:rsidP="00125553">
            <w:pPr>
              <w:rPr>
                <w:rFonts w:ascii="Arial Narrow" w:hAnsi="Arial Narrow"/>
              </w:rPr>
            </w:pPr>
            <w:r>
              <w:rPr>
                <w:rFonts w:ascii="Arial Narrow" w:hAnsi="Arial Narrow"/>
              </w:rPr>
              <w:t xml:space="preserve">16.    </w:t>
            </w:r>
            <w:r w:rsidR="002A183C" w:rsidRPr="00125553">
              <w:rPr>
                <w:rFonts w:ascii="Arial Narrow" w:hAnsi="Arial Narrow"/>
              </w:rPr>
              <w:t>What is the estimated cost, effort, and length of time required to deploy the technology in another organization?</w:t>
            </w:r>
          </w:p>
          <w:p w:rsidR="000A3BB1" w:rsidRDefault="000A3BB1" w:rsidP="000A3BB1">
            <w:pPr>
              <w:rPr>
                <w:rFonts w:ascii="Arial Narrow" w:hAnsi="Arial Narrow"/>
              </w:rPr>
            </w:pPr>
          </w:p>
          <w:p w:rsidR="002A183C" w:rsidRPr="002A183C" w:rsidRDefault="000A3BB1" w:rsidP="006E67C9">
            <w:pPr>
              <w:rPr>
                <w:rFonts w:ascii="Arial Narrow" w:hAnsi="Arial Narrow"/>
              </w:rPr>
            </w:pPr>
            <w:r>
              <w:rPr>
                <w:rFonts w:ascii="Arial Narrow" w:hAnsi="Arial Narrow"/>
              </w:rPr>
              <w:t>$</w:t>
            </w:r>
            <w:r w:rsidR="00DC30FA">
              <w:rPr>
                <w:rFonts w:ascii="Arial Narrow" w:hAnsi="Arial Narrow"/>
              </w:rPr>
              <w:t>15</w:t>
            </w:r>
            <w:r>
              <w:rPr>
                <w:rFonts w:ascii="Arial Narrow" w:hAnsi="Arial Narrow"/>
              </w:rPr>
              <w:t>,000 per state for implementation</w:t>
            </w:r>
            <w:r w:rsidR="00DC30FA">
              <w:rPr>
                <w:rFonts w:ascii="Arial Narrow" w:hAnsi="Arial Narrow"/>
              </w:rPr>
              <w:t xml:space="preserve"> for one year that include training and technical support</w:t>
            </w:r>
            <w:r>
              <w:rPr>
                <w:rFonts w:ascii="Arial Narrow" w:hAnsi="Arial Narrow"/>
              </w:rPr>
              <w:t>.</w:t>
            </w:r>
          </w:p>
        </w:tc>
        <w:bookmarkStart w:id="2" w:name="_GoBack"/>
        <w:bookmarkEnd w:id="2"/>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Pr="002A3FB0" w:rsidRDefault="002A3FB0" w:rsidP="002A3FB0">
            <w:pPr>
              <w:rPr>
                <w:rFonts w:ascii="Arial Narrow" w:hAnsi="Arial Narrow"/>
              </w:rPr>
            </w:pPr>
            <w:r>
              <w:rPr>
                <w:rFonts w:ascii="Arial Narrow" w:hAnsi="Arial Narrow"/>
              </w:rPr>
              <w:t xml:space="preserve">17.     </w:t>
            </w:r>
            <w:r w:rsidR="002A183C" w:rsidRPr="002A3FB0">
              <w:rPr>
                <w:rFonts w:ascii="Arial Narrow" w:hAnsi="Arial Narrow"/>
              </w:rPr>
              <w:t>What resources—such as technical specifications, training materials, and user guides—are already available to assist deployment?</w:t>
            </w:r>
          </w:p>
          <w:p w:rsidR="001140D7" w:rsidRDefault="001140D7" w:rsidP="002A183C">
            <w:pPr>
              <w:ind w:left="360" w:hanging="360"/>
              <w:rPr>
                <w:rFonts w:ascii="Arial Narrow" w:hAnsi="Arial Narrow"/>
              </w:rPr>
            </w:pPr>
          </w:p>
          <w:p w:rsidR="002A183C" w:rsidRPr="002A183C" w:rsidRDefault="000A3BB1" w:rsidP="002A183C">
            <w:pPr>
              <w:ind w:left="360" w:hanging="360"/>
              <w:rPr>
                <w:rFonts w:ascii="Arial Narrow" w:hAnsi="Arial Narrow"/>
              </w:rPr>
            </w:pPr>
            <w:r>
              <w:rPr>
                <w:rFonts w:ascii="Arial Narrow" w:hAnsi="Arial Narrow"/>
              </w:rPr>
              <w:t>Prep-Me software, user manual, training documents, etc.</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3FB0" w:rsidP="002A3FB0">
            <w:pPr>
              <w:rPr>
                <w:rFonts w:ascii="Arial Narrow" w:hAnsi="Arial Narrow"/>
              </w:rPr>
            </w:pPr>
            <w:r>
              <w:rPr>
                <w:rFonts w:ascii="Arial Narrow" w:hAnsi="Arial Narrow"/>
              </w:rPr>
              <w:t xml:space="preserve">18.     </w:t>
            </w:r>
            <w:r w:rsidR="002A183C" w:rsidRPr="002A183C">
              <w:rPr>
                <w:rFonts w:ascii="Arial Narrow" w:hAnsi="Arial Narrow"/>
              </w:rPr>
              <w:t>What organizations currently supply and provide technical support for the technology?</w:t>
            </w:r>
          </w:p>
          <w:p w:rsidR="001140D7" w:rsidRDefault="001140D7" w:rsidP="000A3BB1">
            <w:pPr>
              <w:rPr>
                <w:rFonts w:ascii="Arial Narrow" w:hAnsi="Arial Narrow"/>
              </w:rPr>
            </w:pPr>
          </w:p>
          <w:p w:rsidR="002A183C" w:rsidRPr="000A3BB1" w:rsidRDefault="000A3BB1" w:rsidP="000A3BB1">
            <w:pPr>
              <w:rPr>
                <w:rFonts w:ascii="Arial Narrow" w:hAnsi="Arial Narrow"/>
              </w:rPr>
            </w:pPr>
            <w:r w:rsidRPr="000A3BB1">
              <w:rPr>
                <w:rFonts w:ascii="Arial Narrow" w:hAnsi="Arial Narrow"/>
              </w:rPr>
              <w:t>Oklahoma State University</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3FB0" w:rsidP="002A3FB0">
            <w:pPr>
              <w:rPr>
                <w:rFonts w:ascii="Arial Narrow" w:hAnsi="Arial Narrow"/>
              </w:rPr>
            </w:pPr>
            <w:r>
              <w:rPr>
                <w:rFonts w:ascii="Arial Narrow" w:hAnsi="Arial Narrow"/>
              </w:rPr>
              <w:t xml:space="preserve">19.     </w:t>
            </w:r>
            <w:r w:rsidR="002A183C" w:rsidRPr="002A183C">
              <w:rPr>
                <w:rFonts w:ascii="Arial Narrow" w:hAnsi="Arial Narrow"/>
              </w:rPr>
              <w:t>Please describe any legal, environmental, social, intellectual property, or other barriers that might affect ease of implementation.</w:t>
            </w:r>
          </w:p>
          <w:p w:rsidR="001140D7" w:rsidRDefault="001140D7" w:rsidP="002A183C">
            <w:pPr>
              <w:rPr>
                <w:rFonts w:ascii="Arial Narrow" w:hAnsi="Arial Narrow"/>
              </w:rPr>
            </w:pPr>
          </w:p>
          <w:p w:rsidR="002A183C" w:rsidRPr="002A183C" w:rsidRDefault="000A3BB1" w:rsidP="002A183C">
            <w:pPr>
              <w:rPr>
                <w:rFonts w:ascii="Arial Narrow" w:hAnsi="Arial Narrow"/>
              </w:rPr>
            </w:pPr>
            <w:r>
              <w:rPr>
                <w:rFonts w:ascii="Arial Narrow" w:hAnsi="Arial Narrow"/>
              </w:rPr>
              <w:t>None</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7E506F" w:rsidP="002A183C">
            <w:pPr>
              <w:ind w:left="360"/>
              <w:jc w:val="center"/>
              <w:rPr>
                <w:rFonts w:ascii="Arial Narrow" w:hAnsi="Arial Narrow"/>
              </w:rPr>
            </w:pPr>
            <w:hyperlink r:id="rId14">
              <w:r w:rsidR="002A183C">
                <w:rPr>
                  <w:rFonts w:ascii="Arial"/>
                  <w:b/>
                  <w:i/>
                  <w:color w:val="0000FF"/>
                  <w:spacing w:val="-1"/>
                  <w:u w:val="thick" w:color="0000FF"/>
                </w:rPr>
                <w:t>http://transportation1.org/tig_solicitation/Submit.aspx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5"/>
      <w:footerReference w:type="defaul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6F" w:rsidRDefault="007E506F">
      <w:r>
        <w:separator/>
      </w:r>
    </w:p>
  </w:endnote>
  <w:endnote w:type="continuationSeparator" w:id="0">
    <w:p w:rsidR="007E506F" w:rsidRDefault="007E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sidR="00F5198F">
      <w:rPr>
        <w:rStyle w:val="PageNumber"/>
        <w:rFonts w:ascii="Arial Narrow" w:hAnsi="Arial Narrow"/>
      </w:rPr>
      <w:fldChar w:fldCharType="begin"/>
    </w:r>
    <w:r>
      <w:rPr>
        <w:rStyle w:val="PageNumber"/>
        <w:rFonts w:ascii="Arial Narrow" w:hAnsi="Arial Narrow"/>
      </w:rPr>
      <w:instrText xml:space="preserve"> PAGE </w:instrText>
    </w:r>
    <w:r w:rsidR="00F5198F">
      <w:rPr>
        <w:rStyle w:val="PageNumber"/>
        <w:rFonts w:ascii="Arial Narrow" w:hAnsi="Arial Narrow"/>
      </w:rPr>
      <w:fldChar w:fldCharType="separate"/>
    </w:r>
    <w:r w:rsidR="002A3FB0">
      <w:rPr>
        <w:rStyle w:val="PageNumber"/>
        <w:rFonts w:ascii="Arial Narrow" w:hAnsi="Arial Narrow"/>
        <w:noProof/>
      </w:rPr>
      <w:t>4</w:t>
    </w:r>
    <w:r w:rsidR="00F5198F">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6F" w:rsidRDefault="007E506F">
      <w:r>
        <w:separator/>
      </w:r>
    </w:p>
  </w:footnote>
  <w:footnote w:type="continuationSeparator" w:id="0">
    <w:p w:rsidR="007E506F" w:rsidRDefault="007E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Technology Implementation Group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0E12"/>
    <w:multiLevelType w:val="hybridMultilevel"/>
    <w:tmpl w:val="F1F84EF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17E5"/>
    <w:multiLevelType w:val="hybridMultilevel"/>
    <w:tmpl w:val="19DEC4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63146"/>
    <w:multiLevelType w:val="hybridMultilevel"/>
    <w:tmpl w:val="07F220B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54B6"/>
    <w:multiLevelType w:val="hybridMultilevel"/>
    <w:tmpl w:val="6B5C469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5147"/>
    <w:multiLevelType w:val="hybridMultilevel"/>
    <w:tmpl w:val="7DB294A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93D02"/>
    <w:multiLevelType w:val="singleLevel"/>
    <w:tmpl w:val="0409000F"/>
    <w:lvl w:ilvl="0">
      <w:start w:val="1"/>
      <w:numFmt w:val="decimal"/>
      <w:lvlText w:val="%1."/>
      <w:lvlJc w:val="left"/>
      <w:pPr>
        <w:tabs>
          <w:tab w:val="num" w:pos="360"/>
        </w:tabs>
        <w:ind w:left="360" w:hanging="360"/>
      </w:pPr>
    </w:lvl>
  </w:abstractNum>
  <w:abstractNum w:abstractNumId="7">
    <w:nsid w:val="2C487E93"/>
    <w:multiLevelType w:val="hybridMultilevel"/>
    <w:tmpl w:val="5A16671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86EA6"/>
    <w:multiLevelType w:val="hybridMultilevel"/>
    <w:tmpl w:val="13A64FD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F390F"/>
    <w:multiLevelType w:val="singleLevel"/>
    <w:tmpl w:val="0409000F"/>
    <w:lvl w:ilvl="0">
      <w:start w:val="1"/>
      <w:numFmt w:val="decimal"/>
      <w:lvlText w:val="%1."/>
      <w:lvlJc w:val="left"/>
      <w:pPr>
        <w:tabs>
          <w:tab w:val="num" w:pos="360"/>
        </w:tabs>
        <w:ind w:left="360" w:hanging="360"/>
      </w:pPr>
    </w:lvl>
  </w:abstractNum>
  <w:abstractNum w:abstractNumId="10">
    <w:nsid w:val="456C1341"/>
    <w:multiLevelType w:val="hybridMultilevel"/>
    <w:tmpl w:val="A838F7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F6046"/>
    <w:multiLevelType w:val="singleLevel"/>
    <w:tmpl w:val="0409000F"/>
    <w:lvl w:ilvl="0">
      <w:start w:val="1"/>
      <w:numFmt w:val="decimal"/>
      <w:lvlText w:val="%1."/>
      <w:lvlJc w:val="left"/>
      <w:pPr>
        <w:tabs>
          <w:tab w:val="num" w:pos="360"/>
        </w:tabs>
        <w:ind w:left="360" w:hanging="360"/>
      </w:pPr>
    </w:lvl>
  </w:abstractNum>
  <w:abstractNum w:abstractNumId="13">
    <w:nsid w:val="51795D64"/>
    <w:multiLevelType w:val="hybridMultilevel"/>
    <w:tmpl w:val="6B82B7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42C62"/>
    <w:multiLevelType w:val="hybridMultilevel"/>
    <w:tmpl w:val="D07EFB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345142"/>
    <w:multiLevelType w:val="singleLevel"/>
    <w:tmpl w:val="0409000F"/>
    <w:lvl w:ilvl="0">
      <w:start w:val="1"/>
      <w:numFmt w:val="decimal"/>
      <w:lvlText w:val="%1."/>
      <w:lvlJc w:val="left"/>
      <w:pPr>
        <w:tabs>
          <w:tab w:val="num" w:pos="360"/>
        </w:tabs>
        <w:ind w:left="360" w:hanging="360"/>
      </w:pPr>
    </w:lvl>
  </w:abstractNum>
  <w:abstractNum w:abstractNumId="1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15F0F"/>
    <w:multiLevelType w:val="hybridMultilevel"/>
    <w:tmpl w:val="F35CAF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E1A2C"/>
    <w:multiLevelType w:val="hybridMultilevel"/>
    <w:tmpl w:val="634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C5D69"/>
    <w:multiLevelType w:val="hybridMultilevel"/>
    <w:tmpl w:val="C62072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45043"/>
    <w:multiLevelType w:val="hybridMultilevel"/>
    <w:tmpl w:val="3A60F6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5"/>
  </w:num>
  <w:num w:numId="5">
    <w:abstractNumId w:val="16"/>
  </w:num>
  <w:num w:numId="6">
    <w:abstractNumId w:val="11"/>
  </w:num>
  <w:num w:numId="7">
    <w:abstractNumId w:val="4"/>
  </w:num>
  <w:num w:numId="8">
    <w:abstractNumId w:val="14"/>
  </w:num>
  <w:num w:numId="9">
    <w:abstractNumId w:val="18"/>
  </w:num>
  <w:num w:numId="10">
    <w:abstractNumId w:val="20"/>
  </w:num>
  <w:num w:numId="11">
    <w:abstractNumId w:val="17"/>
  </w:num>
  <w:num w:numId="12">
    <w:abstractNumId w:val="1"/>
  </w:num>
  <w:num w:numId="13">
    <w:abstractNumId w:val="8"/>
  </w:num>
  <w:num w:numId="14">
    <w:abstractNumId w:val="0"/>
  </w:num>
  <w:num w:numId="15">
    <w:abstractNumId w:val="10"/>
  </w:num>
  <w:num w:numId="16">
    <w:abstractNumId w:val="13"/>
  </w:num>
  <w:num w:numId="17">
    <w:abstractNumId w:val="19"/>
  </w:num>
  <w:num w:numId="18">
    <w:abstractNumId w:val="5"/>
  </w:num>
  <w:num w:numId="19">
    <w:abstractNumId w:val="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36E7D"/>
    <w:rsid w:val="000A3BB1"/>
    <w:rsid w:val="000C0250"/>
    <w:rsid w:val="001140D7"/>
    <w:rsid w:val="00125553"/>
    <w:rsid w:val="0024387F"/>
    <w:rsid w:val="00276652"/>
    <w:rsid w:val="002A183C"/>
    <w:rsid w:val="002A3FB0"/>
    <w:rsid w:val="002F4DCD"/>
    <w:rsid w:val="0030568A"/>
    <w:rsid w:val="00361CF0"/>
    <w:rsid w:val="00456E4B"/>
    <w:rsid w:val="00492616"/>
    <w:rsid w:val="00631E1F"/>
    <w:rsid w:val="006B74A2"/>
    <w:rsid w:val="006E67C9"/>
    <w:rsid w:val="00737227"/>
    <w:rsid w:val="007508AB"/>
    <w:rsid w:val="007A6AFE"/>
    <w:rsid w:val="007E506F"/>
    <w:rsid w:val="007E5186"/>
    <w:rsid w:val="009777BF"/>
    <w:rsid w:val="00AB2189"/>
    <w:rsid w:val="00B70FB6"/>
    <w:rsid w:val="00D15233"/>
    <w:rsid w:val="00DC30FA"/>
    <w:rsid w:val="00E76792"/>
    <w:rsid w:val="00F5198F"/>
    <w:rsid w:val="00F6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70FB6"/>
    <w:pPr>
      <w:ind w:left="720"/>
      <w:contextualSpacing/>
    </w:pPr>
  </w:style>
  <w:style w:type="paragraph" w:styleId="BalloonText">
    <w:name w:val="Balloon Text"/>
    <w:basedOn w:val="Normal"/>
    <w:link w:val="BalloonTextChar"/>
    <w:uiPriority w:val="99"/>
    <w:semiHidden/>
    <w:unhideWhenUsed/>
    <w:rsid w:val="00737227"/>
    <w:rPr>
      <w:rFonts w:ascii="Tahoma" w:hAnsi="Tahoma" w:cs="Tahoma"/>
      <w:sz w:val="16"/>
      <w:szCs w:val="16"/>
    </w:rPr>
  </w:style>
  <w:style w:type="character" w:customStyle="1" w:styleId="BalloonTextChar">
    <w:name w:val="Balloon Text Char"/>
    <w:basedOn w:val="DefaultParagraphFont"/>
    <w:link w:val="BalloonText"/>
    <w:uiPriority w:val="99"/>
    <w:semiHidden/>
    <w:rsid w:val="0073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B70FB6"/>
    <w:pPr>
      <w:ind w:left="720"/>
      <w:contextualSpacing/>
    </w:pPr>
  </w:style>
  <w:style w:type="paragraph" w:styleId="BalloonText">
    <w:name w:val="Balloon Text"/>
    <w:basedOn w:val="Normal"/>
    <w:link w:val="BalloonTextChar"/>
    <w:uiPriority w:val="99"/>
    <w:semiHidden/>
    <w:unhideWhenUsed/>
    <w:rsid w:val="00737227"/>
    <w:rPr>
      <w:rFonts w:ascii="Tahoma" w:hAnsi="Tahoma" w:cs="Tahoma"/>
      <w:sz w:val="16"/>
      <w:szCs w:val="16"/>
    </w:rPr>
  </w:style>
  <w:style w:type="character" w:customStyle="1" w:styleId="BalloonTextChar">
    <w:name w:val="Balloon Text Char"/>
    <w:basedOn w:val="DefaultParagraphFont"/>
    <w:link w:val="BalloonText"/>
    <w:uiPriority w:val="99"/>
    <w:semiHidden/>
    <w:rsid w:val="0073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ransportation1.org/tig_solicitation/Subm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IG\Forms\TIG_Nomina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 xsi:nil="true"/>
    <DatePosted xmlns="c246ee03-080f-45a4-927d-779cdf817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7" ma:contentTypeDescription="Create a new document." ma:contentTypeScope="" ma:versionID="dba2f7a1191770854d564818e2298558">
  <xsd:schema xmlns:xsd="http://www.w3.org/2001/XMLSchema" xmlns:xs="http://www.w3.org/2001/XMLSchema" xmlns:p="http://schemas.microsoft.com/office/2006/metadata/properties" xmlns:ns1="http://schemas.microsoft.com/sharepoint/v3" xmlns:ns2="c246ee03-080f-45a4-927d-779cdf8174ad" targetNamespace="http://schemas.microsoft.com/office/2006/metadata/properties" ma:root="true" ma:fieldsID="78272860b712cce23abb33ffd6851cb8" ns1:_="" ns2:_="">
    <xsd:import namespace="http://schemas.microsoft.com/sharepoint/v3"/>
    <xsd:import namespace="c246ee03-080f-45a4-927d-779cdf8174ad"/>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s>
</ds:datastoreItem>
</file>

<file path=customXml/itemProps2.xml><?xml version="1.0" encoding="utf-8"?>
<ds:datastoreItem xmlns:ds="http://schemas.openxmlformats.org/officeDocument/2006/customXml" ds:itemID="{A721EFDF-86AB-4421-9133-2E705ACC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TIG_Nomination_Form</Template>
  <TotalTime>1</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TIGnominationForm</vt:lpstr>
    </vt:vector>
  </TitlesOfParts>
  <Company>State of South Dakota</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TIGnominationForm</dc:title>
  <dc:creator>JFissel</dc:creator>
  <cp:lastModifiedBy>Harold R. Paul</cp:lastModifiedBy>
  <cp:revision>2</cp:revision>
  <cp:lastPrinted>2013-11-14T19:52:00Z</cp:lastPrinted>
  <dcterms:created xsi:type="dcterms:W3CDTF">2013-12-27T14:52:00Z</dcterms:created>
  <dcterms:modified xsi:type="dcterms:W3CDTF">2013-12-27T14:52:00Z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